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62" w:rsidRPr="00AA7E62" w:rsidRDefault="00AA7E62" w:rsidP="00AA7E6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i/>
          <w:kern w:val="3"/>
          <w:sz w:val="24"/>
          <w:szCs w:val="24"/>
          <w:lang w:val="es-ES" w:eastAsia="zh-CN" w:bidi="hi-IN"/>
        </w:rPr>
      </w:pPr>
      <w:r w:rsidRPr="00AA7E62">
        <w:rPr>
          <w:rFonts w:ascii="Arial" w:eastAsia="Calibri" w:hAnsi="Arial" w:cs="Arial"/>
          <w:b/>
          <w:i/>
          <w:kern w:val="3"/>
          <w:sz w:val="24"/>
          <w:szCs w:val="24"/>
          <w:lang w:val="es-ES" w:eastAsia="zh-CN" w:bidi="hi-IN"/>
        </w:rPr>
        <w:t>Resultados:</w:t>
      </w:r>
    </w:p>
    <w:p w:rsidR="00AA7E62" w:rsidRDefault="00AA7E62" w:rsidP="00AA7E6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E52D93">
        <w:rPr>
          <w:rFonts w:ascii="Arial" w:eastAsia="Calibri" w:hAnsi="Arial" w:cs="Arial"/>
          <w:kern w:val="3"/>
          <w:lang w:val="es-ES" w:eastAsia="zh-CN" w:bidi="hi-IN"/>
        </w:rPr>
        <w:t xml:space="preserve">participaron un total de 61 participantes, de los cuales el 67,2% (n=41) eran hombres y el 32,8% (n=20) eran mujeres, con una edad media de 65,89 ± 12,62 años. </w:t>
      </w:r>
    </w:p>
    <w:p w:rsidR="00AA7E62" w:rsidRPr="00E52D93" w:rsidRDefault="00AA7E62" w:rsidP="00AA7E6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 w:rsidRPr="00E52D93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El 20,34% (n=12) de los participantes se encontraba en el estadio 3a de la IRC, el 22,03% (n=13) en el estadio 3b, el 35,59% (n=21) en el estadio 4 y el 18,64% (n=11) en el 5. El FG medio de los pacientes, estimado con la fórmula del CKD-EPI, fue del 28,90 ±15,63 ml/min/1,73m2. En cuanto a la presencia de enfermedades asociadas, el 27,12% (n=16) de los pacientes eran diabéticos y el 77,96% (n=46) tenían hipertensión.</w:t>
      </w: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 w:rsidRPr="008B2BA0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En la tabla 1 se pueden observar los datos antropométricos recogidos</w:t>
      </w:r>
      <w:r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.</w:t>
      </w:r>
    </w:p>
    <w:p w:rsidR="00AA7E62" w:rsidRDefault="00AA7E62" w:rsidP="00AA7E62">
      <w:pPr>
        <w:pStyle w:val="Default"/>
        <w:spacing w:line="360" w:lineRule="auto"/>
        <w:ind w:left="708"/>
        <w:jc w:val="center"/>
        <w:rPr>
          <w:rFonts w:ascii="Arial" w:eastAsia="Calibri" w:hAnsi="Arial" w:cs="Arial"/>
          <w:color w:val="auto"/>
          <w:kern w:val="3"/>
          <w:sz w:val="16"/>
          <w:szCs w:val="16"/>
          <w:lang w:val="es-ES" w:eastAsia="zh-CN" w:bidi="hi-IN"/>
        </w:rPr>
      </w:pPr>
      <w:r>
        <w:rPr>
          <w:noProof/>
          <w:lang w:val="es-ES" w:eastAsia="es-ES"/>
        </w:rPr>
        <w:drawing>
          <wp:inline distT="0" distB="0" distL="0" distR="0" wp14:anchorId="782E0B0F" wp14:editId="196B3B95">
            <wp:extent cx="4084320" cy="254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21" t="29182" r="20684" b="12859"/>
                    <a:stretch/>
                  </pic:blipFill>
                  <pic:spPr bwMode="auto">
                    <a:xfrm>
                      <a:off x="0" y="0"/>
                      <a:ext cx="4094218" cy="254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E62" w:rsidRPr="006F21CC" w:rsidRDefault="00AA7E62" w:rsidP="00AA7E62">
      <w:pPr>
        <w:pStyle w:val="Default"/>
        <w:spacing w:line="360" w:lineRule="auto"/>
        <w:ind w:left="708"/>
        <w:jc w:val="both"/>
        <w:rPr>
          <w:rFonts w:ascii="Arial" w:eastAsia="Calibri" w:hAnsi="Arial" w:cs="Arial"/>
          <w:color w:val="auto"/>
          <w:kern w:val="3"/>
          <w:sz w:val="20"/>
          <w:szCs w:val="20"/>
          <w:lang w:val="es-ES" w:eastAsia="zh-CN" w:bidi="hi-IN"/>
        </w:rPr>
      </w:pPr>
      <w:r w:rsidRPr="006F21CC">
        <w:rPr>
          <w:rFonts w:ascii="Arial" w:eastAsia="Calibri" w:hAnsi="Arial" w:cs="Arial"/>
          <w:color w:val="auto"/>
          <w:kern w:val="3"/>
          <w:sz w:val="20"/>
          <w:szCs w:val="20"/>
          <w:lang w:val="es-ES" w:eastAsia="zh-CN" w:bidi="hi-IN"/>
        </w:rPr>
        <w:t xml:space="preserve">Tabla 1: Parámetros antropométricos de los pacientes participantes en la EPR. Abreviaturas: DS: desviación estándar. IMC: índice de masa corporal. MG: masa grasa. MM: masa muscular. MB: metabolismo basal. ICC: índice cintura/cadera. PT: pliegue </w:t>
      </w:r>
      <w:proofErr w:type="spellStart"/>
      <w:r w:rsidRPr="006F21CC">
        <w:rPr>
          <w:rFonts w:ascii="Arial" w:eastAsia="Calibri" w:hAnsi="Arial" w:cs="Arial"/>
          <w:color w:val="auto"/>
          <w:kern w:val="3"/>
          <w:sz w:val="20"/>
          <w:szCs w:val="20"/>
          <w:lang w:val="es-ES" w:eastAsia="zh-CN" w:bidi="hi-IN"/>
        </w:rPr>
        <w:t>tricipital</w:t>
      </w:r>
      <w:proofErr w:type="spellEnd"/>
      <w:r w:rsidRPr="006F21CC">
        <w:rPr>
          <w:rFonts w:ascii="Arial" w:eastAsia="Calibri" w:hAnsi="Arial" w:cs="Arial"/>
          <w:color w:val="auto"/>
          <w:kern w:val="3"/>
          <w:sz w:val="20"/>
          <w:szCs w:val="20"/>
          <w:lang w:val="es-ES" w:eastAsia="zh-CN" w:bidi="hi-IN"/>
        </w:rPr>
        <w:t>. CB: circunferencia braquial. CMB: circunferencia muscular del brazo.</w:t>
      </w: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 w:rsidRPr="0071248C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Para la evaluación del nivel de conocimientos fueron analizados 54 cuestionarios, puesto que 7 pacientes faltaron a la última sesión y no realizaron el cuestionario final. </w:t>
      </w:r>
      <w:r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Como se puede ver en la figura</w:t>
      </w:r>
      <w:r w:rsidRPr="0071248C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, antes de la educación alimentaria grupal se obtuvo una media de 15,69 preguntas acertadas (65,4%) y 8,31 preguntas falladas (34,6%); mientras que al final de la intervención 19,69 preguntas fueron acertadas (82,04%) y solo 4,31 preguntas fueron falladas (17,96%). Se demuestra por tanto una mejora de los conocimientos tras la intervención con educación alimentaria con significación estadística (test de </w:t>
      </w:r>
      <w:proofErr w:type="spellStart"/>
      <w:r w:rsidRPr="0071248C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Wilconxon</w:t>
      </w:r>
      <w:proofErr w:type="spellEnd"/>
      <w:r w:rsidRPr="0071248C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, p&lt;0,001).</w:t>
      </w: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Pr="006F21CC" w:rsidRDefault="00AA7E62" w:rsidP="00AA7E62">
      <w:pPr>
        <w:pStyle w:val="Default"/>
        <w:spacing w:line="360" w:lineRule="auto"/>
        <w:jc w:val="center"/>
        <w:rPr>
          <w:rFonts w:ascii="Arial" w:eastAsia="Calibri" w:hAnsi="Arial" w:cs="Arial"/>
          <w:color w:val="auto"/>
          <w:kern w:val="3"/>
          <w:szCs w:val="22"/>
          <w:lang w:val="es-ES" w:eastAsia="zh-CN" w:bidi="hi-IN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453320BE" wp14:editId="557BE4DA">
            <wp:simplePos x="0" y="0"/>
            <wp:positionH relativeFrom="column">
              <wp:posOffset>186690</wp:posOffset>
            </wp:positionH>
            <wp:positionV relativeFrom="paragraph">
              <wp:posOffset>114300</wp:posOffset>
            </wp:positionV>
            <wp:extent cx="2657475" cy="2034540"/>
            <wp:effectExtent l="114300" t="114300" r="123825" b="1181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6" t="35472" r="40441" b="25604"/>
                    <a:stretch/>
                  </pic:blipFill>
                  <pic:spPr bwMode="auto">
                    <a:xfrm>
                      <a:off x="0" y="0"/>
                      <a:ext cx="2657475" cy="203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EC56D1" wp14:editId="0CCB5E28">
            <wp:simplePos x="0" y="0"/>
            <wp:positionH relativeFrom="column">
              <wp:posOffset>3025140</wp:posOffset>
            </wp:positionH>
            <wp:positionV relativeFrom="paragraph">
              <wp:posOffset>111125</wp:posOffset>
            </wp:positionV>
            <wp:extent cx="2562225" cy="2038350"/>
            <wp:effectExtent l="114300" t="114300" r="123825" b="11430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20" t="29354" r="40209" b="30865"/>
                    <a:stretch/>
                  </pic:blipFill>
                  <pic:spPr bwMode="auto">
                    <a:xfrm>
                      <a:off x="0" y="0"/>
                      <a:ext cx="256222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F21CC">
        <w:rPr>
          <w:rFonts w:ascii="Arial" w:eastAsia="Calibri" w:hAnsi="Arial" w:cs="Arial"/>
          <w:color w:val="auto"/>
          <w:kern w:val="3"/>
          <w:sz w:val="20"/>
          <w:szCs w:val="22"/>
          <w:u w:val="single"/>
          <w:lang w:val="es-ES" w:eastAsia="zh-CN" w:bidi="hi-IN"/>
        </w:rPr>
        <w:t>Figura 2:</w:t>
      </w:r>
      <w:r w:rsidRPr="006F21CC">
        <w:rPr>
          <w:rFonts w:ascii="Arial" w:eastAsia="Calibri" w:hAnsi="Arial" w:cs="Arial"/>
          <w:color w:val="auto"/>
          <w:kern w:val="3"/>
          <w:sz w:val="20"/>
          <w:szCs w:val="22"/>
          <w:lang w:val="es-ES" w:eastAsia="zh-CN" w:bidi="hi-IN"/>
        </w:rPr>
        <w:t xml:space="preserve"> Porcentaje de aciertos y fallos en el cuestionario de conocimientos antes y después </w:t>
      </w:r>
      <w:bookmarkStart w:id="0" w:name="_GoBack"/>
      <w:bookmarkEnd w:id="0"/>
      <w:r w:rsidRPr="006F21CC">
        <w:rPr>
          <w:rFonts w:ascii="Arial" w:eastAsia="Calibri" w:hAnsi="Arial" w:cs="Arial"/>
          <w:color w:val="auto"/>
          <w:kern w:val="3"/>
          <w:sz w:val="20"/>
          <w:szCs w:val="22"/>
          <w:lang w:val="es-ES" w:eastAsia="zh-CN" w:bidi="hi-IN"/>
        </w:rPr>
        <w:t>de la EPR.</w:t>
      </w: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Pr="00631F17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Antes de impartir las</w:t>
      </w:r>
      <w:r w:rsidRPr="00631F17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 charlas de educación alimentaria, la pregunta con un mayor número de fallos fue la nº21 que describía: Las hierbas aromáticas y las especias no están recomendadas en la insuficiencia renal. El número de fallos de esta pregunta fue de 41 y paso a 26 en el test final. Otras preguntas con un número alto de fallos al inicio fueron la nº11 (En la insuficiencia renal está muy aconsejado el consumo de alimentos ricos en fósforo) y la nº17 (Los alimentos de origen vegetal no tienen proteínas).</w:t>
      </w: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 w:rsidRPr="00631F17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>En cuanto a las preguntas con un mayor número de aciertos tras la intervención educativa destacan: la nº6 (La cebolla, el pepino y el pimiento son verduras con un</w:t>
      </w:r>
      <w:r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 contenido pobre en potasio) y en </w:t>
      </w:r>
      <w:r w:rsidRPr="00631F17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nº15 (El remojo y la doble cocción son dos técnicas culinarias que se utilizan para disminuir el contenido de potasio en los alimentos) con 9 fallos y la nº13 (En la insuficiencia renal está muy recomendado el consumo de verdura congelada, pues contiene una menor cantidad de potasio) con 7 fallos. </w:t>
      </w:r>
    </w:p>
    <w:p w:rsidR="00AA7E62" w:rsidRPr="00631F17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</w:p>
    <w:p w:rsidR="00AA7E62" w:rsidRPr="00631F17" w:rsidRDefault="00AA7E62" w:rsidP="00AA7E62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</w:pPr>
      <w:r w:rsidRPr="00631F17">
        <w:rPr>
          <w:rFonts w:ascii="Arial" w:eastAsia="Calibri" w:hAnsi="Arial" w:cs="Arial"/>
          <w:color w:val="auto"/>
          <w:kern w:val="3"/>
          <w:sz w:val="22"/>
          <w:szCs w:val="22"/>
          <w:lang w:val="es-ES" w:eastAsia="zh-CN" w:bidi="hi-IN"/>
        </w:rPr>
        <w:t xml:space="preserve">Las preguntas en las que se obtuvo una mayor diferencia de aciertos entre el test inicial y el final y por tanto muestran un mayor aprendizaje fueron la nº11, la nº13 y la nº23 (Los productos integrales están muy recomendados en la insuficiencia renal). </w:t>
      </w: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>
        <w:rPr>
          <w:rFonts w:ascii="Arial" w:eastAsia="Calibri" w:hAnsi="Arial" w:cs="Arial"/>
          <w:kern w:val="3"/>
          <w:lang w:val="es-ES" w:eastAsia="zh-CN" w:bidi="hi-IN"/>
        </w:rPr>
        <w:t>También se valoró</w:t>
      </w:r>
      <w:r w:rsidRPr="00631F17">
        <w:rPr>
          <w:rFonts w:ascii="Arial" w:eastAsia="Calibri" w:hAnsi="Arial" w:cs="Arial"/>
          <w:kern w:val="3"/>
          <w:lang w:val="es-ES" w:eastAsia="zh-CN" w:bidi="hi-IN"/>
        </w:rPr>
        <w:t xml:space="preserve"> el aprendizaje de los pacientes</w:t>
      </w:r>
      <w:r>
        <w:rPr>
          <w:rFonts w:ascii="Arial" w:eastAsia="Calibri" w:hAnsi="Arial" w:cs="Arial"/>
          <w:kern w:val="3"/>
          <w:lang w:val="es-ES" w:eastAsia="zh-CN" w:bidi="hi-IN"/>
        </w:rPr>
        <w:t xml:space="preserve"> sobre </w:t>
      </w:r>
      <w:r w:rsidRPr="00631F17">
        <w:rPr>
          <w:rFonts w:ascii="Arial" w:eastAsia="Calibri" w:hAnsi="Arial" w:cs="Arial"/>
          <w:kern w:val="3"/>
          <w:lang w:val="es-ES" w:eastAsia="zh-CN" w:bidi="hi-IN"/>
        </w:rPr>
        <w:t>las técnicas culinarias recomendadas en IRC para disminuir el contenido de potasio de los alimentos: remojo</w:t>
      </w:r>
      <w:r>
        <w:rPr>
          <w:rFonts w:ascii="Arial" w:eastAsia="Calibri" w:hAnsi="Arial" w:cs="Arial"/>
          <w:kern w:val="3"/>
          <w:lang w:val="es-ES" w:eastAsia="zh-CN" w:bidi="hi-IN"/>
        </w:rPr>
        <w:t xml:space="preserve"> y doble cocción. En la figura </w:t>
      </w:r>
      <w:r w:rsidRPr="00631F17">
        <w:rPr>
          <w:rFonts w:ascii="Arial" w:eastAsia="Calibri" w:hAnsi="Arial" w:cs="Arial"/>
          <w:kern w:val="3"/>
          <w:lang w:val="es-ES" w:eastAsia="zh-CN" w:bidi="hi-IN"/>
        </w:rPr>
        <w:t xml:space="preserve">se muestran los porcentajes de pacientes que utilizaban estas técnicas antes de la asistencia a la EPR y los que las utilizaban después. Tanto para la técnica de doble cocción como para la técnica del remojo hay una mejora del </w:t>
      </w:r>
      <w:r w:rsidRPr="00631F17">
        <w:rPr>
          <w:rFonts w:ascii="Arial" w:eastAsia="Calibri" w:hAnsi="Arial" w:cs="Arial"/>
          <w:kern w:val="3"/>
          <w:lang w:val="es-ES" w:eastAsia="zh-CN" w:bidi="hi-IN"/>
        </w:rPr>
        <w:lastRenderedPageBreak/>
        <w:t>conocimiento de la misma con significación estadística (ambos p&lt;0,001). También se observa un aumento de uso con significación estadística para ambas técnicas (p=0,002).</w:t>
      </w: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90A9130" wp14:editId="45709609">
            <wp:simplePos x="0" y="0"/>
            <wp:positionH relativeFrom="column">
              <wp:posOffset>2823845</wp:posOffset>
            </wp:positionH>
            <wp:positionV relativeFrom="paragraph">
              <wp:posOffset>54610</wp:posOffset>
            </wp:positionV>
            <wp:extent cx="2599690" cy="194754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5" t="35774" r="23087" b="25177"/>
                    <a:stretch/>
                  </pic:blipFill>
                  <pic:spPr bwMode="auto">
                    <a:xfrm>
                      <a:off x="0" y="0"/>
                      <a:ext cx="2599690" cy="194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B38A892" wp14:editId="17A79F97">
            <wp:simplePos x="0" y="0"/>
            <wp:positionH relativeFrom="column">
              <wp:posOffset>405765</wp:posOffset>
            </wp:positionH>
            <wp:positionV relativeFrom="paragraph">
              <wp:posOffset>53975</wp:posOffset>
            </wp:positionV>
            <wp:extent cx="2249805" cy="194818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t="38294" r="59348" b="19383"/>
                    <a:stretch/>
                  </pic:blipFill>
                  <pic:spPr bwMode="auto">
                    <a:xfrm>
                      <a:off x="0" y="0"/>
                      <a:ext cx="2249805" cy="194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E62" w:rsidRDefault="00AA7E62" w:rsidP="00AA7E62">
      <w:pPr>
        <w:spacing w:line="360" w:lineRule="auto"/>
        <w:jc w:val="both"/>
        <w:rPr>
          <w:noProof/>
          <w:lang w:eastAsia="es-EC"/>
        </w:rPr>
      </w:pPr>
      <w:r>
        <w:rPr>
          <w:noProof/>
          <w:lang w:eastAsia="es-EC"/>
        </w:rPr>
        <w:t xml:space="preserve">   </w:t>
      </w:r>
    </w:p>
    <w:p w:rsidR="00AA7E62" w:rsidRDefault="00AA7E62" w:rsidP="00AA7E62">
      <w:pPr>
        <w:spacing w:line="360" w:lineRule="auto"/>
        <w:jc w:val="both"/>
        <w:rPr>
          <w:noProof/>
          <w:lang w:eastAsia="es-EC"/>
        </w:rPr>
      </w:pP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Pr="006F21CC" w:rsidRDefault="00AA7E62" w:rsidP="00AA7E62">
      <w:pPr>
        <w:spacing w:line="360" w:lineRule="auto"/>
        <w:jc w:val="center"/>
        <w:rPr>
          <w:rFonts w:ascii="Arial" w:eastAsia="Calibri" w:hAnsi="Arial" w:cs="Arial"/>
          <w:kern w:val="3"/>
          <w:sz w:val="24"/>
          <w:lang w:val="es-ES" w:eastAsia="zh-CN" w:bidi="hi-IN"/>
        </w:rPr>
      </w:pPr>
    </w:p>
    <w:p w:rsidR="00AA7E62" w:rsidRPr="006F21CC" w:rsidRDefault="00AA7E62" w:rsidP="00AA7E62">
      <w:pPr>
        <w:spacing w:line="360" w:lineRule="auto"/>
        <w:jc w:val="center"/>
        <w:rPr>
          <w:rFonts w:ascii="Arial" w:eastAsia="Calibri" w:hAnsi="Arial" w:cs="Arial"/>
          <w:kern w:val="3"/>
          <w:sz w:val="20"/>
          <w:lang w:val="es-ES" w:eastAsia="zh-CN" w:bidi="hi-IN"/>
        </w:rPr>
      </w:pPr>
      <w:r w:rsidRPr="006F21CC">
        <w:rPr>
          <w:rFonts w:ascii="Arial" w:eastAsia="Calibri" w:hAnsi="Arial" w:cs="Arial"/>
          <w:kern w:val="3"/>
          <w:sz w:val="20"/>
          <w:u w:val="single"/>
          <w:lang w:val="es-ES" w:eastAsia="zh-CN" w:bidi="hi-IN"/>
        </w:rPr>
        <w:t>Figura 3:</w:t>
      </w:r>
      <w:r w:rsidRPr="006F21CC">
        <w:rPr>
          <w:rFonts w:ascii="Arial" w:eastAsia="Calibri" w:hAnsi="Arial" w:cs="Arial"/>
          <w:kern w:val="3"/>
          <w:sz w:val="20"/>
          <w:lang w:val="es-ES" w:eastAsia="zh-CN" w:bidi="hi-IN"/>
        </w:rPr>
        <w:t xml:space="preserve"> porcentaje de pacientes que conocen y utilizan las técnicas de doble cocción y del remojo antes y después de la EPR</w:t>
      </w: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>
        <w:rPr>
          <w:rFonts w:ascii="Arial" w:eastAsia="Calibri" w:hAnsi="Arial" w:cs="Arial"/>
          <w:kern w:val="3"/>
          <w:lang w:val="es-ES" w:eastAsia="zh-CN" w:bidi="hi-IN"/>
        </w:rPr>
        <w:t xml:space="preserve">En cuanto al cuestionario de Frecuencia de Consumo de alimentos que se les paso a los pacientes que asistieron a las charlas de alimentación de EPR antes y después de los talleres se </w:t>
      </w:r>
      <w:r w:rsidRPr="00D07985">
        <w:rPr>
          <w:rFonts w:ascii="Arial" w:eastAsia="Calibri" w:hAnsi="Arial" w:cs="Arial"/>
          <w:kern w:val="3"/>
          <w:lang w:val="es-ES" w:eastAsia="zh-CN" w:bidi="hi-IN"/>
        </w:rPr>
        <w:t>observaron</w:t>
      </w:r>
      <w:r>
        <w:rPr>
          <w:rFonts w:ascii="Arial" w:eastAsia="Calibri" w:hAnsi="Arial" w:cs="Arial"/>
          <w:kern w:val="3"/>
          <w:lang w:val="es-ES" w:eastAsia="zh-CN" w:bidi="hi-IN"/>
        </w:rPr>
        <w:t xml:space="preserve"> los siguientes cambios: </w:t>
      </w: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584042">
        <w:rPr>
          <w:rFonts w:ascii="Arial" w:hAnsi="Arial" w:cs="Arial"/>
          <w:color w:val="000000"/>
        </w:rPr>
        <w:t>-Alimentos proteicos y embutidos: en este grupo incluimos la carne, el pescado y los huevos. El consumo de alimentos proteicos en pacientes con IRC debe estar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Calibri" w:hAnsi="Arial" w:cs="Arial"/>
          <w:kern w:val="3"/>
          <w:lang w:val="es-ES" w:eastAsia="zh-CN" w:bidi="hi-IN"/>
        </w:rPr>
        <w:t>controlada la ingesta proteica y también porque son alimentos ricos en fosforo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>. El consumo de alimentos proteicos se mantiene (1,50 veces al día antes y 1,43 veces al día después de la educación alimentaria). Se observa una reducción en el consumo de carne de cerdo y de cordero (pasa de 1,44 y 2,37 veces a la semana a 1,08 y 1,52 veces a la semana, respectivamente; p=0,466 y p=0,235). El consumo de embutidos, que también se recomienda reducirlo, disminuye de forma general y en el caso del chorizo y salchichón esta disminución es estadísticamente significativa (p=0,006).</w:t>
      </w:r>
    </w:p>
    <w:p w:rsidR="00AA7E62" w:rsidRPr="0058404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</w:t>
      </w:r>
    </w:p>
    <w:p w:rsidR="00AA7E62" w:rsidRDefault="00AA7E62" w:rsidP="00AA7E6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584042">
        <w:rPr>
          <w:rFonts w:ascii="Arial" w:eastAsia="Calibri" w:hAnsi="Arial" w:cs="Arial"/>
          <w:kern w:val="3"/>
          <w:lang w:val="es-ES" w:eastAsia="zh-CN" w:bidi="hi-IN"/>
        </w:rPr>
        <w:t>-Legumbres y cereales: La recomendación en cuanto al consumo de legumbres es reducir s</w:t>
      </w:r>
      <w:r>
        <w:rPr>
          <w:rFonts w:ascii="Arial" w:eastAsia="Calibri" w:hAnsi="Arial" w:cs="Arial"/>
          <w:kern w:val="3"/>
          <w:lang w:val="es-ES" w:eastAsia="zh-CN" w:bidi="hi-IN"/>
        </w:rPr>
        <w:t xml:space="preserve">u consumo a una vez a la </w:t>
      </w:r>
      <w:r w:rsidRPr="00D07985">
        <w:rPr>
          <w:rFonts w:ascii="Arial" w:eastAsia="Calibri" w:hAnsi="Arial" w:cs="Arial"/>
          <w:kern w:val="3"/>
          <w:lang w:val="es-ES" w:eastAsia="zh-CN" w:bidi="hi-IN"/>
        </w:rPr>
        <w:t>semana. En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este caso</w:t>
      </w:r>
      <w:r>
        <w:rPr>
          <w:rFonts w:ascii="Arial" w:eastAsia="Calibri" w:hAnsi="Arial" w:cs="Arial"/>
          <w:kern w:val="3"/>
          <w:lang w:val="es-ES" w:eastAsia="zh-CN" w:bidi="hi-IN"/>
        </w:rPr>
        <w:t>,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tras la EPR</w:t>
      </w:r>
      <w:r>
        <w:rPr>
          <w:rFonts w:ascii="Arial" w:eastAsia="Calibri" w:hAnsi="Arial" w:cs="Arial"/>
          <w:kern w:val="3"/>
          <w:lang w:val="es-ES" w:eastAsia="zh-CN" w:bidi="hi-IN"/>
        </w:rPr>
        <w:t>, se reduce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sin haber una gran diferencia, de 1,73 a 1,56 veces a la semana (p=0,150). El consumo de cereales de forma global también se reduce (2,42 vs. 2,19 veces/día; p=0,232). En el grupo de los cereales cabe destacar la reducción del consumo de pan integral, no recomendado en este colectivo por la cantidad de fósforo que contiene. El consumo pasa de 2,64 a 0,06 veces a la semana, reducción estadísticamente significativa (p=0,002). </w:t>
      </w:r>
    </w:p>
    <w:p w:rsidR="00AA7E62" w:rsidRPr="00584042" w:rsidRDefault="00AA7E62" w:rsidP="00AA7E6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Default="00AA7E62" w:rsidP="00AA7E6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584042">
        <w:rPr>
          <w:rFonts w:ascii="Arial" w:eastAsia="Calibri" w:hAnsi="Arial" w:cs="Arial"/>
          <w:kern w:val="3"/>
          <w:lang w:val="es-ES" w:eastAsia="zh-CN" w:bidi="hi-IN"/>
        </w:rPr>
        <w:t>-Frutas y verduras: No hubo cambios en la ingesta de frutas (1,22 vs.1, 32 veces/día; p=0,256) y verduras (0,77 vs. 0,85 veces/día; p=0,106) tras la EPR. En el cuestionario de frecuencia de consumo se recogían frutas y verdura con alto contenido en potasio y con bajo contenido en potasio. En el caso de las frutas con alto contenido en potasio, se redujo el consumo de todas ellas: plátano, de 1,19 a 0,24 veces/semana (p&lt;0,001); kiwi de 0,53 a 0,23 veces/semana (p=0,281) y uva de 1,73 a 0,72 veces/ semana (p=0,43). En cambio, las frutas con bajo contenido en potasio vieron aumentado su consumo, por ejemplo, la fresa que pasa de 1,47 a 1,92 veces a la semana (p=0,041). Lo mismo se obs</w:t>
      </w:r>
      <w:r>
        <w:rPr>
          <w:rFonts w:ascii="Arial" w:eastAsia="Calibri" w:hAnsi="Arial" w:cs="Arial"/>
          <w:kern w:val="3"/>
          <w:lang w:val="es-ES" w:eastAsia="zh-CN" w:bidi="hi-IN"/>
        </w:rPr>
        <w:t>erva en el caso de las verduras: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se muestra un aumento del consumo de verduras con bajo contenido en potasio, a destacar el pimiento (2,15 vs. 2,75 veces/semana; p=0,026) por ser estadísticamente significativo. Se reduce el consumo de acelgas y espinacas, verduras con alto contenido en potasio (0,81 vs. 0,61 veces/semana; p=0,164 y 0,66 vs. 0,43 veces/semana; p=0,105 respectivamente). Hay que tener en cuenta que la frecuencia de consumo de determinadas frutas y verduras puede verse aumentada en su temporada de consumo preferente o temporada de cosecha ya que tienen mayor accesibilidad y palatabilidad, menor coste, etc. </w:t>
      </w:r>
    </w:p>
    <w:p w:rsidR="00AA7E62" w:rsidRPr="00584042" w:rsidRDefault="00AA7E62" w:rsidP="00AA7E6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Pr="00683294" w:rsidRDefault="00AA7E62" w:rsidP="00AA7E6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584042">
        <w:rPr>
          <w:rFonts w:ascii="Arial" w:eastAsia="Calibri" w:hAnsi="Arial" w:cs="Arial"/>
          <w:kern w:val="3"/>
          <w:lang w:val="es-ES" w:eastAsia="zh-CN" w:bidi="hi-IN"/>
        </w:rPr>
        <w:t>-Lácteos, chocolate y café: no se observan cambios significativos en el consumo de estos grupos de alimentos tras la EPR. El consum</w:t>
      </w:r>
      <w:r>
        <w:rPr>
          <w:rFonts w:ascii="Arial" w:eastAsia="Calibri" w:hAnsi="Arial" w:cs="Arial"/>
          <w:kern w:val="3"/>
          <w:lang w:val="es-ES" w:eastAsia="zh-CN" w:bidi="hi-IN"/>
        </w:rPr>
        <w:t>o de chocolate no se recomienda</w:t>
      </w:r>
      <w:r w:rsidRPr="00584042">
        <w:rPr>
          <w:rFonts w:ascii="Arial" w:eastAsia="Calibri" w:hAnsi="Arial" w:cs="Arial"/>
          <w:kern w:val="3"/>
          <w:lang w:val="es-ES" w:eastAsia="zh-CN" w:bidi="hi-IN"/>
        </w:rPr>
        <w:t xml:space="preserve"> </w:t>
      </w:r>
      <w:r w:rsidRPr="00683294">
        <w:rPr>
          <w:rFonts w:ascii="Arial" w:eastAsia="Calibri" w:hAnsi="Arial" w:cs="Arial"/>
          <w:kern w:val="3"/>
          <w:lang w:val="es-ES" w:eastAsia="zh-CN" w:bidi="hi-IN"/>
        </w:rPr>
        <w:t xml:space="preserve">en este colectivo por la cantidad de fósforo que contiene. El café debe estar igualmente controlado en estos pacientes. La ingesta de café (4,72 vs. 4,46 veces/semana; p=0,442) y de chocolate (0,55 vs. 0,66 veces/semana; p=0,614) se mantiene. Dentro de los lácteos, el consumo de yogur disminuye (3,92 vs. 3,06; p= 0,405). </w:t>
      </w:r>
    </w:p>
    <w:p w:rsidR="00AA7E62" w:rsidRPr="00683294" w:rsidRDefault="00AA7E62" w:rsidP="00AA7E6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</w:p>
    <w:p w:rsidR="00AA7E62" w:rsidRDefault="00AA7E62" w:rsidP="00AA7E62">
      <w:pPr>
        <w:spacing w:line="360" w:lineRule="auto"/>
        <w:jc w:val="both"/>
        <w:rPr>
          <w:rFonts w:ascii="Arial" w:eastAsia="Calibri" w:hAnsi="Arial" w:cs="Arial"/>
          <w:kern w:val="3"/>
          <w:lang w:val="es-ES" w:eastAsia="zh-CN" w:bidi="hi-IN"/>
        </w:rPr>
      </w:pPr>
      <w:r w:rsidRPr="00683294">
        <w:rPr>
          <w:rFonts w:ascii="Arial" w:eastAsia="Calibri" w:hAnsi="Arial" w:cs="Arial"/>
          <w:kern w:val="3"/>
          <w:lang w:val="es-ES" w:eastAsia="zh-CN" w:bidi="hi-IN"/>
        </w:rPr>
        <w:t>-Agua: la recomendación en IRC es beber agua de mineralización débil. Tras la EPC, el 63% (n=34) de los pacientes consumen esta agua frente al 50% (n=29) del inicio (p=0,057). Solo el 13% (n=7) continúa tomando agua del grifo.</w:t>
      </w:r>
    </w:p>
    <w:p w:rsidR="00760B80" w:rsidRDefault="00760B80"/>
    <w:sectPr w:rsidR="00760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62"/>
    <w:rsid w:val="00760B80"/>
    <w:rsid w:val="00A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2053"/>
  <w15:chartTrackingRefBased/>
  <w15:docId w15:val="{1CD84A10-2587-4FE9-A958-C108FA2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62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7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1</cp:revision>
  <dcterms:created xsi:type="dcterms:W3CDTF">2019-06-08T13:22:00Z</dcterms:created>
  <dcterms:modified xsi:type="dcterms:W3CDTF">2019-06-08T13:26:00Z</dcterms:modified>
</cp:coreProperties>
</file>