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46" w:rsidRPr="000B03C4" w:rsidRDefault="000B03C4" w:rsidP="000B03C4">
      <w:pPr>
        <w:pStyle w:val="Sinespaciado"/>
        <w:jc w:val="center"/>
        <w:rPr>
          <w:rFonts w:ascii="Times New Roman" w:hAnsi="Times New Roman" w:cs="Times New Roman"/>
          <w:b/>
        </w:rPr>
      </w:pPr>
      <w:r w:rsidRPr="000B03C4">
        <w:rPr>
          <w:rFonts w:ascii="Times New Roman" w:hAnsi="Times New Roman" w:cs="Times New Roman"/>
          <w:b/>
        </w:rPr>
        <w:t>IMPACTO DE LA CREACIÓN Y JURISPRUDENCIA DE LA CORTE INTERAMERICANA DE DERECHOS HUMANOS</w:t>
      </w:r>
    </w:p>
    <w:p w:rsidR="000B03C4" w:rsidRPr="000B03C4" w:rsidRDefault="000B03C4" w:rsidP="000B03C4">
      <w:pPr>
        <w:pStyle w:val="Sinespaciado"/>
        <w:jc w:val="center"/>
        <w:rPr>
          <w:rFonts w:ascii="Times New Roman" w:hAnsi="Times New Roman" w:cs="Times New Roman"/>
          <w:b/>
        </w:rPr>
      </w:pPr>
    </w:p>
    <w:p w:rsidR="000B03C4" w:rsidRPr="000B03C4" w:rsidRDefault="000B03C4" w:rsidP="000B03C4">
      <w:pPr>
        <w:pStyle w:val="Sinespaciado"/>
        <w:jc w:val="center"/>
        <w:rPr>
          <w:rFonts w:ascii="Times New Roman" w:hAnsi="Times New Roman" w:cs="Times New Roman"/>
          <w:b/>
        </w:rPr>
      </w:pPr>
      <w:r w:rsidRPr="000B03C4">
        <w:rPr>
          <w:rFonts w:ascii="Times New Roman" w:hAnsi="Times New Roman" w:cs="Times New Roman"/>
          <w:b/>
        </w:rPr>
        <w:t>IMPACT OF THE CREATION AND JURISPRUDENCE OF THE INTER-AMERICAN COURT OF HUMAN RIGHTS</w:t>
      </w:r>
    </w:p>
    <w:p w:rsidR="00CE76A2" w:rsidRDefault="00CE76A2" w:rsidP="000B03C4">
      <w:pPr>
        <w:pStyle w:val="Sinespaciado"/>
        <w:jc w:val="center"/>
      </w:pPr>
    </w:p>
    <w:p w:rsidR="000B03C4" w:rsidRPr="00CE76A2" w:rsidRDefault="00CE76A2" w:rsidP="000B03C4">
      <w:pPr>
        <w:pStyle w:val="Sinespaciado"/>
        <w:jc w:val="center"/>
        <w:rPr>
          <w:rFonts w:ascii="Times New Roman" w:hAnsi="Times New Roman" w:cs="Times New Roman"/>
          <w:b/>
        </w:rPr>
      </w:pPr>
      <w:r w:rsidRPr="00CE76A2">
        <w:rPr>
          <w:rFonts w:ascii="Times New Roman" w:hAnsi="Times New Roman" w:cs="Times New Roman"/>
          <w:b/>
        </w:rPr>
        <w:t xml:space="preserve">AUTORES </w:t>
      </w:r>
    </w:p>
    <w:p w:rsidR="00CE76A2" w:rsidRPr="000B03C4" w:rsidRDefault="00CE76A2" w:rsidP="000B03C4">
      <w:pPr>
        <w:pStyle w:val="Sinespaciado"/>
        <w:jc w:val="center"/>
      </w:pPr>
    </w:p>
    <w:p w:rsidR="000B03C4" w:rsidRDefault="000B03C4" w:rsidP="000B03C4">
      <w:pPr>
        <w:spacing w:after="0"/>
        <w:contextualSpacing/>
        <w:jc w:val="center"/>
        <w:rPr>
          <w:rFonts w:ascii="Times New Roman" w:hAnsi="Times New Roman" w:cs="Times New Roman"/>
          <w:b/>
          <w:szCs w:val="24"/>
        </w:rPr>
      </w:pPr>
      <w:r w:rsidRPr="000B03C4">
        <w:rPr>
          <w:rFonts w:ascii="Times New Roman" w:hAnsi="Times New Roman" w:cs="Times New Roman"/>
          <w:b/>
          <w:szCs w:val="24"/>
        </w:rPr>
        <w:t>Ab. Brenner Fabián Díaz Rodríguez Mg.</w:t>
      </w:r>
    </w:p>
    <w:p w:rsidR="000B03C4" w:rsidRDefault="000B03C4" w:rsidP="000B03C4">
      <w:pPr>
        <w:spacing w:after="0"/>
        <w:contextualSpacing/>
        <w:jc w:val="center"/>
        <w:rPr>
          <w:rFonts w:ascii="Times New Roman" w:hAnsi="Times New Roman" w:cs="Times New Roman"/>
          <w:b/>
          <w:szCs w:val="24"/>
        </w:rPr>
      </w:pPr>
      <w:r>
        <w:rPr>
          <w:rFonts w:ascii="Times New Roman" w:hAnsi="Times New Roman" w:cs="Times New Roman"/>
          <w:b/>
          <w:szCs w:val="24"/>
        </w:rPr>
        <w:t>Ab Dayton Francisco Farfán Pinoargote Mg.</w:t>
      </w:r>
    </w:p>
    <w:p w:rsidR="000B03C4" w:rsidRPr="000B03C4" w:rsidRDefault="000B03C4" w:rsidP="000B03C4">
      <w:pPr>
        <w:spacing w:after="0"/>
        <w:contextualSpacing/>
        <w:jc w:val="center"/>
        <w:rPr>
          <w:rFonts w:ascii="Times New Roman" w:hAnsi="Times New Roman" w:cs="Times New Roman"/>
          <w:b/>
          <w:szCs w:val="24"/>
        </w:rPr>
      </w:pPr>
      <w:r>
        <w:rPr>
          <w:rFonts w:ascii="Times New Roman" w:hAnsi="Times New Roman" w:cs="Times New Roman"/>
          <w:b/>
          <w:szCs w:val="24"/>
        </w:rPr>
        <w:t>Ab María Esther González Andarcia Mg.</w:t>
      </w:r>
    </w:p>
    <w:p w:rsidR="000B03C4" w:rsidRPr="00CE76A2" w:rsidRDefault="00CE76A2" w:rsidP="000B03C4">
      <w:pPr>
        <w:spacing w:after="0"/>
        <w:contextualSpacing/>
        <w:jc w:val="center"/>
        <w:rPr>
          <w:rStyle w:val="Hipervnculo"/>
          <w:rFonts w:ascii="Times New Roman" w:hAnsi="Times New Roman" w:cs="Times New Roman"/>
          <w:b/>
          <w:color w:val="auto"/>
          <w:szCs w:val="24"/>
          <w:u w:val="none"/>
        </w:rPr>
      </w:pPr>
      <w:hyperlink r:id="rId6" w:history="1">
        <w:r w:rsidRPr="00CE76A2">
          <w:rPr>
            <w:rStyle w:val="Hipervnculo"/>
            <w:rFonts w:ascii="Times New Roman" w:hAnsi="Times New Roman" w:cs="Times New Roman"/>
            <w:b/>
            <w:color w:val="auto"/>
            <w:szCs w:val="24"/>
            <w:u w:val="none"/>
          </w:rPr>
          <w:t>bfdiaz@sangregorio.edu.ec</w:t>
        </w:r>
      </w:hyperlink>
      <w:r w:rsidRPr="00CE76A2">
        <w:rPr>
          <w:rStyle w:val="Hipervnculo"/>
          <w:rFonts w:ascii="Times New Roman" w:hAnsi="Times New Roman" w:cs="Times New Roman"/>
          <w:b/>
          <w:color w:val="auto"/>
          <w:szCs w:val="24"/>
          <w:u w:val="none"/>
        </w:rPr>
        <w:t xml:space="preserve"> </w:t>
      </w:r>
    </w:p>
    <w:p w:rsidR="000B03C4" w:rsidRPr="00CE76A2" w:rsidRDefault="000B03C4" w:rsidP="000B03C4">
      <w:pPr>
        <w:spacing w:after="0"/>
        <w:contextualSpacing/>
        <w:jc w:val="center"/>
        <w:rPr>
          <w:rStyle w:val="Hipervnculo"/>
          <w:rFonts w:ascii="Times New Roman" w:hAnsi="Times New Roman" w:cs="Times New Roman"/>
          <w:b/>
          <w:color w:val="auto"/>
          <w:szCs w:val="24"/>
          <w:u w:val="none"/>
        </w:rPr>
      </w:pPr>
      <w:hyperlink r:id="rId7" w:history="1">
        <w:r w:rsidRPr="00CE76A2">
          <w:rPr>
            <w:rStyle w:val="Hipervnculo"/>
            <w:rFonts w:ascii="Times New Roman" w:hAnsi="Times New Roman" w:cs="Times New Roman"/>
            <w:b/>
            <w:color w:val="auto"/>
            <w:szCs w:val="24"/>
            <w:u w:val="none"/>
          </w:rPr>
          <w:t>dffarfan@sangregorio.edu.ec</w:t>
        </w:r>
      </w:hyperlink>
    </w:p>
    <w:p w:rsidR="000B03C4" w:rsidRPr="00CE76A2" w:rsidRDefault="000B03C4" w:rsidP="000B03C4">
      <w:pPr>
        <w:spacing w:after="0"/>
        <w:contextualSpacing/>
        <w:jc w:val="center"/>
        <w:rPr>
          <w:rStyle w:val="Hipervnculo"/>
          <w:rFonts w:ascii="Times New Roman" w:hAnsi="Times New Roman" w:cs="Times New Roman"/>
          <w:b/>
          <w:color w:val="auto"/>
          <w:szCs w:val="24"/>
          <w:u w:val="none"/>
        </w:rPr>
      </w:pPr>
      <w:hyperlink r:id="rId8" w:history="1">
        <w:r w:rsidRPr="00CE76A2">
          <w:rPr>
            <w:rStyle w:val="Hipervnculo"/>
            <w:rFonts w:ascii="Times New Roman" w:hAnsi="Times New Roman" w:cs="Times New Roman"/>
            <w:b/>
            <w:color w:val="auto"/>
            <w:szCs w:val="24"/>
            <w:u w:val="none"/>
          </w:rPr>
          <w:t>megonzalez@sangregorio.edu.ec</w:t>
        </w:r>
      </w:hyperlink>
      <w:r w:rsidRPr="00CE76A2">
        <w:rPr>
          <w:rStyle w:val="Hipervnculo"/>
          <w:rFonts w:ascii="Times New Roman" w:hAnsi="Times New Roman" w:cs="Times New Roman"/>
          <w:b/>
          <w:color w:val="auto"/>
          <w:szCs w:val="24"/>
          <w:u w:val="none"/>
        </w:rPr>
        <w:t xml:space="preserve"> </w:t>
      </w:r>
    </w:p>
    <w:p w:rsidR="000B03C4" w:rsidRPr="000B03C4" w:rsidRDefault="000B03C4" w:rsidP="000B03C4">
      <w:pPr>
        <w:spacing w:after="0"/>
        <w:contextualSpacing/>
        <w:jc w:val="center"/>
        <w:rPr>
          <w:rFonts w:ascii="Times New Roman" w:hAnsi="Times New Roman" w:cs="Times New Roman"/>
          <w:b/>
          <w:szCs w:val="24"/>
        </w:rPr>
      </w:pPr>
      <w:r w:rsidRPr="000B03C4">
        <w:rPr>
          <w:rFonts w:ascii="Times New Roman" w:hAnsi="Times New Roman" w:cs="Times New Roman"/>
          <w:b/>
          <w:szCs w:val="24"/>
        </w:rPr>
        <w:t>Universidad San Gregorio de Portoviejo</w:t>
      </w:r>
    </w:p>
    <w:p w:rsidR="00CE76A2" w:rsidRDefault="00CE76A2" w:rsidP="000B03C4">
      <w:pPr>
        <w:jc w:val="center"/>
        <w:rPr>
          <w:rFonts w:ascii="Times New Roman" w:hAnsi="Times New Roman" w:cs="Times New Roman"/>
          <w:b/>
          <w:szCs w:val="24"/>
        </w:rPr>
      </w:pPr>
    </w:p>
    <w:p w:rsidR="000B03C4" w:rsidRPr="000B03C4" w:rsidRDefault="000B03C4" w:rsidP="000B03C4">
      <w:pPr>
        <w:jc w:val="center"/>
        <w:rPr>
          <w:rFonts w:ascii="Times New Roman" w:hAnsi="Times New Roman" w:cs="Times New Roman"/>
          <w:b/>
          <w:szCs w:val="24"/>
        </w:rPr>
      </w:pPr>
      <w:r w:rsidRPr="000B03C4">
        <w:rPr>
          <w:rFonts w:ascii="Times New Roman" w:hAnsi="Times New Roman" w:cs="Times New Roman"/>
          <w:b/>
          <w:szCs w:val="24"/>
        </w:rPr>
        <w:t>Resumen</w:t>
      </w:r>
    </w:p>
    <w:p w:rsidR="00CE76A2" w:rsidRDefault="00CE76A2" w:rsidP="00CE76A2">
      <w:pPr>
        <w:tabs>
          <w:tab w:val="left" w:pos="6706"/>
        </w:tabs>
        <w:jc w:val="both"/>
        <w:rPr>
          <w:rFonts w:ascii="Times New Roman" w:hAnsi="Times New Roman" w:cs="Times New Roman"/>
        </w:rPr>
      </w:pPr>
      <w:r>
        <w:rPr>
          <w:rFonts w:ascii="Times New Roman" w:hAnsi="Times New Roman" w:cs="Times New Roman"/>
        </w:rPr>
        <w:t xml:space="preserve">El presente trabajo expone un acercamiento teórico y empírico </w:t>
      </w:r>
      <w:r>
        <w:rPr>
          <w:rFonts w:ascii="Times New Roman" w:hAnsi="Times New Roman" w:cs="Times New Roman"/>
        </w:rPr>
        <w:t xml:space="preserve">del derecho internacional </w:t>
      </w:r>
      <w:r>
        <w:rPr>
          <w:rFonts w:ascii="Times New Roman" w:hAnsi="Times New Roman" w:cs="Times New Roman"/>
        </w:rPr>
        <w:t xml:space="preserve">a la teoría de la ponderación </w:t>
      </w:r>
      <w:r>
        <w:rPr>
          <w:rFonts w:ascii="Times New Roman" w:hAnsi="Times New Roman" w:cs="Times New Roman"/>
        </w:rPr>
        <w:t>de las resoluciones de la corte interamericana de derechos humanos con las sentencias dictadas por organismos judiciales en país determinados</w:t>
      </w:r>
      <w:r>
        <w:rPr>
          <w:rFonts w:ascii="Times New Roman" w:hAnsi="Times New Roman" w:cs="Times New Roman"/>
        </w:rPr>
        <w:t xml:space="preserve">. Se presentarán críticas a </w:t>
      </w:r>
      <w:r>
        <w:rPr>
          <w:rFonts w:ascii="Times New Roman" w:hAnsi="Times New Roman" w:cs="Times New Roman"/>
        </w:rPr>
        <w:t>sentencias</w:t>
      </w:r>
      <w:r>
        <w:rPr>
          <w:rFonts w:ascii="Times New Roman" w:hAnsi="Times New Roman" w:cs="Times New Roman"/>
        </w:rPr>
        <w:t xml:space="preserve">. Por último, se reseñará la alternativa </w:t>
      </w:r>
      <w:r>
        <w:rPr>
          <w:rFonts w:ascii="Times New Roman" w:hAnsi="Times New Roman" w:cs="Times New Roman"/>
        </w:rPr>
        <w:t>de un, proceso inclusivo para la decisiones de este tipo</w:t>
      </w:r>
      <w:r>
        <w:rPr>
          <w:rFonts w:ascii="Times New Roman" w:hAnsi="Times New Roman" w:cs="Times New Roman"/>
        </w:rPr>
        <w:t>. En suma, el presente artículo postula un análisis acompañado de elementos críticos.</w:t>
      </w:r>
    </w:p>
    <w:p w:rsidR="00CE76A2" w:rsidRPr="00CE76A2" w:rsidRDefault="00CE76A2" w:rsidP="00CE76A2">
      <w:pPr>
        <w:tabs>
          <w:tab w:val="left" w:pos="6706"/>
        </w:tabs>
        <w:jc w:val="both"/>
        <w:rPr>
          <w:rFonts w:ascii="Times New Roman" w:hAnsi="Times New Roman" w:cs="Times New Roman"/>
          <w:b/>
          <w:i/>
          <w:szCs w:val="24"/>
        </w:rPr>
      </w:pPr>
      <w:r>
        <w:rPr>
          <w:rFonts w:ascii="Times New Roman" w:hAnsi="Times New Roman" w:cs="Times New Roman"/>
        </w:rPr>
        <w:t xml:space="preserve">Palabras claves: Derecho internacional, corte interamericana derecho humanos, corte penal, dualismo     </w:t>
      </w:r>
    </w:p>
    <w:p w:rsidR="006076F5" w:rsidRPr="000B03C4" w:rsidRDefault="00CE76A2" w:rsidP="006076F5">
      <w:pPr>
        <w:jc w:val="center"/>
        <w:rPr>
          <w:rFonts w:ascii="Times New Roman" w:hAnsi="Times New Roman" w:cs="Times New Roman"/>
          <w:szCs w:val="24"/>
        </w:rPr>
      </w:pPr>
      <w:proofErr w:type="spellStart"/>
      <w:r w:rsidRPr="00CE76A2">
        <w:rPr>
          <w:rFonts w:ascii="Times New Roman" w:hAnsi="Times New Roman" w:cs="Times New Roman"/>
          <w:szCs w:val="24"/>
        </w:rPr>
        <w:t>Summary</w:t>
      </w:r>
      <w:proofErr w:type="spellEnd"/>
    </w:p>
    <w:p w:rsidR="001874EB" w:rsidRPr="000B03C4" w:rsidRDefault="00CE76A2" w:rsidP="00CE76A2">
      <w:pPr>
        <w:jc w:val="both"/>
        <w:rPr>
          <w:rFonts w:ascii="Times New Roman" w:hAnsi="Times New Roman" w:cs="Times New Roman"/>
          <w:szCs w:val="24"/>
        </w:rPr>
      </w:pP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present</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work</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exposes</w:t>
      </w:r>
      <w:proofErr w:type="spellEnd"/>
      <w:r w:rsidRPr="00CE76A2">
        <w:rPr>
          <w:rFonts w:ascii="Times New Roman" w:hAnsi="Times New Roman" w:cs="Times New Roman"/>
          <w:szCs w:val="24"/>
        </w:rPr>
        <w:t xml:space="preserve"> a </w:t>
      </w:r>
      <w:proofErr w:type="spellStart"/>
      <w:r w:rsidRPr="00CE76A2">
        <w:rPr>
          <w:rFonts w:ascii="Times New Roman" w:hAnsi="Times New Roman" w:cs="Times New Roman"/>
          <w:szCs w:val="24"/>
        </w:rPr>
        <w:t>theoretical</w:t>
      </w:r>
      <w:proofErr w:type="spellEnd"/>
      <w:r w:rsidRPr="00CE76A2">
        <w:rPr>
          <w:rFonts w:ascii="Times New Roman" w:hAnsi="Times New Roman" w:cs="Times New Roman"/>
          <w:szCs w:val="24"/>
        </w:rPr>
        <w:t xml:space="preserve"> and </w:t>
      </w:r>
      <w:proofErr w:type="spellStart"/>
      <w:r w:rsidRPr="00CE76A2">
        <w:rPr>
          <w:rFonts w:ascii="Times New Roman" w:hAnsi="Times New Roman" w:cs="Times New Roman"/>
          <w:szCs w:val="24"/>
        </w:rPr>
        <w:t>empirical</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approach</w:t>
      </w:r>
      <w:proofErr w:type="spellEnd"/>
      <w:r w:rsidRPr="00CE76A2">
        <w:rPr>
          <w:rFonts w:ascii="Times New Roman" w:hAnsi="Times New Roman" w:cs="Times New Roman"/>
          <w:szCs w:val="24"/>
        </w:rPr>
        <w:t xml:space="preserve"> of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international</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right</w:t>
      </w:r>
      <w:proofErr w:type="spellEnd"/>
      <w:r w:rsidRPr="00CE76A2">
        <w:rPr>
          <w:rFonts w:ascii="Times New Roman" w:hAnsi="Times New Roman" w:cs="Times New Roman"/>
          <w:szCs w:val="24"/>
        </w:rPr>
        <w:t xml:space="preserve"> to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theory</w:t>
      </w:r>
      <w:proofErr w:type="spellEnd"/>
      <w:r w:rsidRPr="00CE76A2">
        <w:rPr>
          <w:rFonts w:ascii="Times New Roman" w:hAnsi="Times New Roman" w:cs="Times New Roman"/>
          <w:szCs w:val="24"/>
        </w:rPr>
        <w:t xml:space="preserve"> of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weighting</w:t>
      </w:r>
      <w:proofErr w:type="spellEnd"/>
      <w:r w:rsidRPr="00CE76A2">
        <w:rPr>
          <w:rFonts w:ascii="Times New Roman" w:hAnsi="Times New Roman" w:cs="Times New Roman"/>
          <w:szCs w:val="24"/>
        </w:rPr>
        <w:t xml:space="preserve"> of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resolutions</w:t>
      </w:r>
      <w:proofErr w:type="spellEnd"/>
      <w:r w:rsidRPr="00CE76A2">
        <w:rPr>
          <w:rFonts w:ascii="Times New Roman" w:hAnsi="Times New Roman" w:cs="Times New Roman"/>
          <w:szCs w:val="24"/>
        </w:rPr>
        <w:t xml:space="preserve"> of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inter-American </w:t>
      </w:r>
      <w:proofErr w:type="spellStart"/>
      <w:r w:rsidRPr="00CE76A2">
        <w:rPr>
          <w:rFonts w:ascii="Times New Roman" w:hAnsi="Times New Roman" w:cs="Times New Roman"/>
          <w:szCs w:val="24"/>
        </w:rPr>
        <w:t>court</w:t>
      </w:r>
      <w:proofErr w:type="spellEnd"/>
      <w:r w:rsidRPr="00CE76A2">
        <w:rPr>
          <w:rFonts w:ascii="Times New Roman" w:hAnsi="Times New Roman" w:cs="Times New Roman"/>
          <w:szCs w:val="24"/>
        </w:rPr>
        <w:t xml:space="preserve"> of human </w:t>
      </w:r>
      <w:proofErr w:type="spellStart"/>
      <w:r w:rsidRPr="00CE76A2">
        <w:rPr>
          <w:rFonts w:ascii="Times New Roman" w:hAnsi="Times New Roman" w:cs="Times New Roman"/>
          <w:szCs w:val="24"/>
        </w:rPr>
        <w:t>rights</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with</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sentences</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dictated</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by</w:t>
      </w:r>
      <w:proofErr w:type="spellEnd"/>
      <w:r w:rsidRPr="00CE76A2">
        <w:rPr>
          <w:rFonts w:ascii="Times New Roman" w:hAnsi="Times New Roman" w:cs="Times New Roman"/>
          <w:szCs w:val="24"/>
        </w:rPr>
        <w:t xml:space="preserve"> judicial </w:t>
      </w:r>
      <w:proofErr w:type="spellStart"/>
      <w:r w:rsidRPr="00CE76A2">
        <w:rPr>
          <w:rFonts w:ascii="Times New Roman" w:hAnsi="Times New Roman" w:cs="Times New Roman"/>
          <w:szCs w:val="24"/>
        </w:rPr>
        <w:t>organisms</w:t>
      </w:r>
      <w:proofErr w:type="spellEnd"/>
      <w:r w:rsidRPr="00CE76A2">
        <w:rPr>
          <w:rFonts w:ascii="Times New Roman" w:hAnsi="Times New Roman" w:cs="Times New Roman"/>
          <w:szCs w:val="24"/>
        </w:rPr>
        <w:t xml:space="preserve"> in </w:t>
      </w:r>
      <w:proofErr w:type="spellStart"/>
      <w:r w:rsidRPr="00CE76A2">
        <w:rPr>
          <w:rFonts w:ascii="Times New Roman" w:hAnsi="Times New Roman" w:cs="Times New Roman"/>
          <w:szCs w:val="24"/>
        </w:rPr>
        <w:t>determined</w:t>
      </w:r>
      <w:proofErr w:type="spellEnd"/>
      <w:r w:rsidRPr="00CE76A2">
        <w:rPr>
          <w:rFonts w:ascii="Times New Roman" w:hAnsi="Times New Roman" w:cs="Times New Roman"/>
          <w:szCs w:val="24"/>
        </w:rPr>
        <w:t xml:space="preserve"> country. </w:t>
      </w:r>
      <w:proofErr w:type="spellStart"/>
      <w:r w:rsidRPr="00CE76A2">
        <w:rPr>
          <w:rFonts w:ascii="Times New Roman" w:hAnsi="Times New Roman" w:cs="Times New Roman"/>
          <w:szCs w:val="24"/>
        </w:rPr>
        <w:t>Criticisms</w:t>
      </w:r>
      <w:proofErr w:type="spellEnd"/>
      <w:r w:rsidRPr="00CE76A2">
        <w:rPr>
          <w:rFonts w:ascii="Times New Roman" w:hAnsi="Times New Roman" w:cs="Times New Roman"/>
          <w:szCs w:val="24"/>
        </w:rPr>
        <w:t xml:space="preserve"> of </w:t>
      </w:r>
      <w:proofErr w:type="spellStart"/>
      <w:r w:rsidRPr="00CE76A2">
        <w:rPr>
          <w:rFonts w:ascii="Times New Roman" w:hAnsi="Times New Roman" w:cs="Times New Roman"/>
          <w:szCs w:val="24"/>
        </w:rPr>
        <w:t>sentences</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will</w:t>
      </w:r>
      <w:proofErr w:type="spellEnd"/>
      <w:r w:rsidRPr="00CE76A2">
        <w:rPr>
          <w:rFonts w:ascii="Times New Roman" w:hAnsi="Times New Roman" w:cs="Times New Roman"/>
          <w:szCs w:val="24"/>
        </w:rPr>
        <w:t xml:space="preserve"> be </w:t>
      </w:r>
      <w:proofErr w:type="spellStart"/>
      <w:r w:rsidRPr="00CE76A2">
        <w:rPr>
          <w:rFonts w:ascii="Times New Roman" w:hAnsi="Times New Roman" w:cs="Times New Roman"/>
          <w:szCs w:val="24"/>
        </w:rPr>
        <w:t>presented</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Finally</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we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will</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outline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alternative</w:t>
      </w:r>
      <w:proofErr w:type="spellEnd"/>
      <w:r w:rsidRPr="00CE76A2">
        <w:rPr>
          <w:rFonts w:ascii="Times New Roman" w:hAnsi="Times New Roman" w:cs="Times New Roman"/>
          <w:szCs w:val="24"/>
        </w:rPr>
        <w:t xml:space="preserve"> of </w:t>
      </w:r>
      <w:proofErr w:type="spellStart"/>
      <w:r w:rsidRPr="00CE76A2">
        <w:rPr>
          <w:rFonts w:ascii="Times New Roman" w:hAnsi="Times New Roman" w:cs="Times New Roman"/>
          <w:szCs w:val="24"/>
        </w:rPr>
        <w:t>an</w:t>
      </w:r>
      <w:proofErr w:type="spellEnd"/>
      <w:r w:rsidRPr="00CE76A2">
        <w:rPr>
          <w:rFonts w:ascii="Times New Roman" w:hAnsi="Times New Roman" w:cs="Times New Roman"/>
          <w:szCs w:val="24"/>
        </w:rPr>
        <w:t xml:space="preserve"> inclusive </w:t>
      </w:r>
      <w:proofErr w:type="spellStart"/>
      <w:r w:rsidRPr="00CE76A2">
        <w:rPr>
          <w:rFonts w:ascii="Times New Roman" w:hAnsi="Times New Roman" w:cs="Times New Roman"/>
          <w:szCs w:val="24"/>
        </w:rPr>
        <w:t>process</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for</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decisions</w:t>
      </w:r>
      <w:proofErr w:type="spellEnd"/>
      <w:r w:rsidRPr="00CE76A2">
        <w:rPr>
          <w:rFonts w:ascii="Times New Roman" w:hAnsi="Times New Roman" w:cs="Times New Roman"/>
          <w:szCs w:val="24"/>
        </w:rPr>
        <w:t xml:space="preserve"> of </w:t>
      </w:r>
      <w:proofErr w:type="spellStart"/>
      <w:r w:rsidRPr="00CE76A2">
        <w:rPr>
          <w:rFonts w:ascii="Times New Roman" w:hAnsi="Times New Roman" w:cs="Times New Roman"/>
          <w:szCs w:val="24"/>
        </w:rPr>
        <w:t>this</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type</w:t>
      </w:r>
      <w:proofErr w:type="spellEnd"/>
      <w:r w:rsidRPr="00CE76A2">
        <w:rPr>
          <w:rFonts w:ascii="Times New Roman" w:hAnsi="Times New Roman" w:cs="Times New Roman"/>
          <w:szCs w:val="24"/>
        </w:rPr>
        <w:t xml:space="preserve">. In sum, </w:t>
      </w:r>
      <w:proofErr w:type="spellStart"/>
      <w:r w:rsidRPr="00CE76A2">
        <w:rPr>
          <w:rFonts w:ascii="Times New Roman" w:hAnsi="Times New Roman" w:cs="Times New Roman"/>
          <w:szCs w:val="24"/>
        </w:rPr>
        <w:t>the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present</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article</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postulates</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an</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analysis</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accompanied</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by</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critical</w:t>
      </w:r>
      <w:proofErr w:type="spellEnd"/>
      <w:r w:rsidRPr="00CE76A2">
        <w:rPr>
          <w:rFonts w:ascii="Times New Roman" w:hAnsi="Times New Roman" w:cs="Times New Roman"/>
          <w:szCs w:val="24"/>
        </w:rPr>
        <w:t xml:space="preserve"> </w:t>
      </w:r>
      <w:proofErr w:type="spellStart"/>
      <w:r w:rsidRPr="00CE76A2">
        <w:rPr>
          <w:rFonts w:ascii="Times New Roman" w:hAnsi="Times New Roman" w:cs="Times New Roman"/>
          <w:szCs w:val="24"/>
        </w:rPr>
        <w:t>elements</w:t>
      </w:r>
      <w:proofErr w:type="spellEnd"/>
      <w:r w:rsidRPr="00CE76A2">
        <w:rPr>
          <w:rFonts w:ascii="Times New Roman" w:hAnsi="Times New Roman" w:cs="Times New Roman"/>
          <w:szCs w:val="24"/>
        </w:rPr>
        <w:t>.</w:t>
      </w:r>
    </w:p>
    <w:p w:rsidR="00DA3D46" w:rsidRPr="000B03C4" w:rsidRDefault="00DA3D46" w:rsidP="001874EB">
      <w:pPr>
        <w:jc w:val="center"/>
        <w:rPr>
          <w:rFonts w:ascii="Times New Roman" w:hAnsi="Times New Roman" w:cs="Times New Roman"/>
          <w:szCs w:val="24"/>
        </w:rPr>
      </w:pPr>
    </w:p>
    <w:p w:rsidR="009B6D80" w:rsidRPr="000B03C4" w:rsidRDefault="009B6D80" w:rsidP="009B6D80">
      <w:pPr>
        <w:pStyle w:val="Ttulo1"/>
        <w:rPr>
          <w:rFonts w:ascii="Times New Roman" w:hAnsi="Times New Roman" w:cs="Times New Roman"/>
          <w:sz w:val="24"/>
          <w:szCs w:val="24"/>
          <w:lang w:val="es-ES"/>
        </w:rPr>
      </w:pPr>
      <w:r w:rsidRPr="000B03C4">
        <w:rPr>
          <w:rFonts w:ascii="Times New Roman" w:hAnsi="Times New Roman" w:cs="Times New Roman"/>
          <w:sz w:val="24"/>
          <w:szCs w:val="24"/>
          <w:lang w:val="es-ES"/>
        </w:rPr>
        <w:t>Antecedentes históricos</w:t>
      </w:r>
    </w:p>
    <w:p w:rsidR="00693B13" w:rsidRPr="000B03C4" w:rsidRDefault="00693B13">
      <w:pPr>
        <w:rPr>
          <w:rFonts w:ascii="Times New Roman" w:hAnsi="Times New Roman" w:cs="Times New Roman"/>
          <w:szCs w:val="24"/>
          <w:lang w:val="es-ES"/>
        </w:rPr>
      </w:pPr>
      <w:r w:rsidRPr="000B03C4">
        <w:rPr>
          <w:rFonts w:ascii="Times New Roman" w:hAnsi="Times New Roman" w:cs="Times New Roman"/>
          <w:szCs w:val="24"/>
          <w:lang w:val="es-ES"/>
        </w:rPr>
        <w:t>Durante la primera mitad del siglo XX los conflictos internacionales y la Segunda Guerra Mundial hicieron plausible la necesidad de organismos con jurisdicción internacional que contribuyeran a la solución de conflictos internacionales y de Derechos Humanos que trascendieran las normativas de aquellas naciones donde la política de Estado los violentara.</w:t>
      </w:r>
      <w:r w:rsidR="004E2D32" w:rsidRPr="000B03C4">
        <w:rPr>
          <w:rFonts w:ascii="Times New Roman" w:hAnsi="Times New Roman" w:cs="Times New Roman"/>
          <w:szCs w:val="24"/>
          <w:lang w:val="es-ES"/>
        </w:rPr>
        <w:t xml:space="preserve"> Para que la evolución de este concepto fuera posible se precisó de la ocurrencia de fenómenos sociales barbáricos que permitieron la transición del pensamiento que establecía la prohibición absoluta de la injerencia en los asuntos internos del país a la comprensión de la necesidad de justicia y el reconocimiento del individuo como sujeto de Derecho internacional público.</w:t>
      </w:r>
    </w:p>
    <w:p w:rsidR="004E2D32" w:rsidRPr="000B03C4" w:rsidRDefault="00D777AC" w:rsidP="00D777AC">
      <w:pPr>
        <w:rPr>
          <w:rFonts w:ascii="Times New Roman" w:hAnsi="Times New Roman" w:cs="Times New Roman"/>
          <w:szCs w:val="24"/>
          <w:shd w:val="clear" w:color="auto" w:fill="FFFFFF"/>
        </w:rPr>
      </w:pPr>
      <w:r w:rsidRPr="000B03C4">
        <w:rPr>
          <w:rFonts w:ascii="Times New Roman" w:hAnsi="Times New Roman" w:cs="Times New Roman"/>
          <w:szCs w:val="24"/>
          <w:lang w:val="es-ES"/>
        </w:rPr>
        <w:t>No obstante este fenómeno está documentado desde 1474 en el Sacro Imperio Romano Germánico, e</w:t>
      </w:r>
      <w:r w:rsidRPr="000B03C4">
        <w:rPr>
          <w:rFonts w:ascii="Times New Roman" w:hAnsi="Times New Roman" w:cs="Times New Roman"/>
          <w:szCs w:val="24"/>
          <w:shd w:val="clear" w:color="auto" w:fill="FFFFFF"/>
        </w:rPr>
        <w:t>n el asedio de Londonderry (1696); en la Guerra de la Independencia norteamericana, en la Gue</w:t>
      </w:r>
      <w:r w:rsidR="006A2809" w:rsidRPr="000B03C4">
        <w:rPr>
          <w:rFonts w:ascii="Times New Roman" w:hAnsi="Times New Roman" w:cs="Times New Roman"/>
          <w:szCs w:val="24"/>
          <w:shd w:val="clear" w:color="auto" w:fill="FFFFFF"/>
        </w:rPr>
        <w:t>rra de Secesión norteamericana y</w:t>
      </w:r>
      <w:r w:rsidRPr="000B03C4">
        <w:rPr>
          <w:rFonts w:ascii="Times New Roman" w:hAnsi="Times New Roman" w:cs="Times New Roman"/>
          <w:szCs w:val="24"/>
          <w:shd w:val="clear" w:color="auto" w:fill="FFFFFF"/>
        </w:rPr>
        <w:t xml:space="preserve"> en la ocupación de Filipinas tras la guerra hispano-norteamericana (1902).</w:t>
      </w:r>
    </w:p>
    <w:p w:rsidR="00E1784F" w:rsidRPr="000B03C4" w:rsidRDefault="00D777AC" w:rsidP="00E1784F">
      <w:pPr>
        <w:rPr>
          <w:rFonts w:ascii="Times New Roman" w:hAnsi="Times New Roman" w:cs="Times New Roman"/>
          <w:szCs w:val="24"/>
        </w:rPr>
      </w:pPr>
      <w:r w:rsidRPr="000B03C4">
        <w:rPr>
          <w:rFonts w:ascii="Times New Roman" w:hAnsi="Times New Roman" w:cs="Times New Roman"/>
          <w:szCs w:val="24"/>
          <w:shd w:val="clear" w:color="auto" w:fill="FFFFFF"/>
        </w:rPr>
        <w:t xml:space="preserve">En 1872 se propone el proyecto </w:t>
      </w:r>
      <w:proofErr w:type="spellStart"/>
      <w:r w:rsidRPr="000B03C4">
        <w:rPr>
          <w:rFonts w:ascii="Times New Roman" w:hAnsi="Times New Roman" w:cs="Times New Roman"/>
          <w:szCs w:val="24"/>
          <w:shd w:val="clear" w:color="auto" w:fill="FFFFFF"/>
        </w:rPr>
        <w:t>Moynier</w:t>
      </w:r>
      <w:proofErr w:type="spellEnd"/>
      <w:r w:rsidRPr="000B03C4">
        <w:rPr>
          <w:rFonts w:ascii="Times New Roman" w:hAnsi="Times New Roman" w:cs="Times New Roman"/>
          <w:szCs w:val="24"/>
          <w:shd w:val="clear" w:color="auto" w:fill="FFFFFF"/>
        </w:rPr>
        <w:t xml:space="preserve"> ante el Comité Internacional de la Cruz Roja que se responsabilizaría con el destino de los heridos de guerra y, durante los últimos años del siglo XIX y principios del XX tuvieron lugar las Conferencia de Paz de La Haya creándose un Tribunal Permanente de Arbitraje. En 1919</w:t>
      </w:r>
      <w:r w:rsidR="00E1784F" w:rsidRPr="000B03C4">
        <w:rPr>
          <w:rFonts w:ascii="Times New Roman" w:hAnsi="Times New Roman" w:cs="Times New Roman"/>
          <w:szCs w:val="24"/>
          <w:shd w:val="clear" w:color="auto" w:fill="FFFFFF"/>
        </w:rPr>
        <w:t xml:space="preserve">, una vez finalizada la Primera Guerra Mundial, se impuso la necesidad de un Tribunal Internacional para delitos bélicos de lesa humanidad, pero no fue adoptado por el Tratado de Versalles y solo se le concedió excepcionalmente esta atribución al Tribunal </w:t>
      </w:r>
      <w:proofErr w:type="spellStart"/>
      <w:r w:rsidR="00E1784F" w:rsidRPr="000B03C4">
        <w:rPr>
          <w:rFonts w:ascii="Times New Roman" w:hAnsi="Times New Roman" w:cs="Times New Roman"/>
          <w:szCs w:val="24"/>
        </w:rPr>
        <w:t>Reichsgericht</w:t>
      </w:r>
      <w:proofErr w:type="spellEnd"/>
      <w:r w:rsidR="00E1784F" w:rsidRPr="000B03C4">
        <w:rPr>
          <w:rFonts w:ascii="Times New Roman" w:hAnsi="Times New Roman" w:cs="Times New Roman"/>
          <w:szCs w:val="24"/>
        </w:rPr>
        <w:t xml:space="preserve"> de Leipzig.</w:t>
      </w:r>
    </w:p>
    <w:p w:rsidR="00E1784F" w:rsidRPr="000B03C4" w:rsidRDefault="00E1784F" w:rsidP="00E1784F">
      <w:pPr>
        <w:rPr>
          <w:rFonts w:ascii="Times New Roman" w:hAnsi="Times New Roman" w:cs="Times New Roman"/>
          <w:szCs w:val="24"/>
        </w:rPr>
      </w:pPr>
      <w:r w:rsidRPr="000B03C4">
        <w:rPr>
          <w:rFonts w:ascii="Times New Roman" w:hAnsi="Times New Roman" w:cs="Times New Roman"/>
          <w:szCs w:val="24"/>
        </w:rPr>
        <w:t xml:space="preserve">El primer Tribunal se estableció a través del Tratado de </w:t>
      </w:r>
      <w:proofErr w:type="spellStart"/>
      <w:r w:rsidRPr="000B03C4">
        <w:rPr>
          <w:rFonts w:ascii="Times New Roman" w:hAnsi="Times New Roman" w:cs="Times New Roman"/>
          <w:szCs w:val="24"/>
        </w:rPr>
        <w:t>Sèvres</w:t>
      </w:r>
      <w:proofErr w:type="spellEnd"/>
      <w:r w:rsidRPr="000B03C4">
        <w:rPr>
          <w:rFonts w:ascii="Times New Roman" w:hAnsi="Times New Roman" w:cs="Times New Roman"/>
          <w:szCs w:val="24"/>
        </w:rPr>
        <w:t xml:space="preserve"> pero no fue ratificado y en el Tratado de </w:t>
      </w:r>
      <w:proofErr w:type="spellStart"/>
      <w:r w:rsidRPr="000B03C4">
        <w:rPr>
          <w:rFonts w:ascii="Times New Roman" w:hAnsi="Times New Roman" w:cs="Times New Roman"/>
          <w:szCs w:val="24"/>
        </w:rPr>
        <w:t>Lausanne</w:t>
      </w:r>
      <w:proofErr w:type="spellEnd"/>
      <w:r w:rsidRPr="000B03C4">
        <w:rPr>
          <w:rFonts w:ascii="Times New Roman" w:hAnsi="Times New Roman" w:cs="Times New Roman"/>
          <w:szCs w:val="24"/>
        </w:rPr>
        <w:t xml:space="preserve"> (1923) estuvo comprendida esta propuesta. Las Naciones Unidas (NU) hicieron intentos en este sentido e intentaron establecer una Corte para los delitos de terrorismo internacional</w:t>
      </w:r>
      <w:sdt>
        <w:sdtPr>
          <w:rPr>
            <w:rFonts w:ascii="Times New Roman" w:hAnsi="Times New Roman" w:cs="Times New Roman"/>
            <w:szCs w:val="24"/>
            <w:vertAlign w:val="superscript"/>
          </w:rPr>
          <w:id w:val="1031845943"/>
          <w:citation/>
        </w:sdtPr>
        <w:sdtEndPr/>
        <w:sdtContent>
          <w:r w:rsidRPr="000B03C4">
            <w:rPr>
              <w:rFonts w:ascii="Times New Roman" w:hAnsi="Times New Roman" w:cs="Times New Roman"/>
              <w:szCs w:val="24"/>
              <w:vertAlign w:val="superscript"/>
            </w:rPr>
            <w:fldChar w:fldCharType="begin"/>
          </w:r>
          <w:r w:rsidRPr="000B03C4">
            <w:rPr>
              <w:rFonts w:ascii="Times New Roman" w:hAnsi="Times New Roman" w:cs="Times New Roman"/>
              <w:szCs w:val="24"/>
              <w:vertAlign w:val="superscript"/>
              <w:lang w:val="es-ES"/>
            </w:rPr>
            <w:instrText xml:space="preserve"> CITATION Cát \l 3082 </w:instrText>
          </w:r>
          <w:r w:rsidRPr="000B03C4">
            <w:rPr>
              <w:rFonts w:ascii="Times New Roman" w:hAnsi="Times New Roman" w:cs="Times New Roman"/>
              <w:szCs w:val="24"/>
              <w:vertAlign w:val="superscript"/>
            </w:rPr>
            <w:fldChar w:fldCharType="separate"/>
          </w:r>
          <w:r w:rsidR="00497937" w:rsidRPr="000B03C4">
            <w:rPr>
              <w:rFonts w:ascii="Times New Roman" w:hAnsi="Times New Roman" w:cs="Times New Roman"/>
              <w:noProof/>
              <w:szCs w:val="24"/>
              <w:vertAlign w:val="superscript"/>
              <w:lang w:val="es-ES"/>
            </w:rPr>
            <w:t xml:space="preserve"> </w:t>
          </w:r>
          <w:r w:rsidR="00497937" w:rsidRPr="000B03C4">
            <w:rPr>
              <w:rFonts w:ascii="Times New Roman" w:hAnsi="Times New Roman" w:cs="Times New Roman"/>
              <w:noProof/>
              <w:szCs w:val="24"/>
              <w:lang w:val="es-ES"/>
            </w:rPr>
            <w:t>(Cátedra Iberoamericana)</w:t>
          </w:r>
          <w:r w:rsidRPr="000B03C4">
            <w:rPr>
              <w:rFonts w:ascii="Times New Roman" w:hAnsi="Times New Roman" w:cs="Times New Roman"/>
              <w:szCs w:val="24"/>
              <w:vertAlign w:val="superscript"/>
            </w:rPr>
            <w:fldChar w:fldCharType="end"/>
          </w:r>
        </w:sdtContent>
      </w:sdt>
    </w:p>
    <w:p w:rsidR="002F308B" w:rsidRPr="000B03C4" w:rsidRDefault="002F308B">
      <w:pPr>
        <w:rPr>
          <w:rFonts w:ascii="Times New Roman" w:hAnsi="Times New Roman" w:cs="Times New Roman"/>
          <w:szCs w:val="24"/>
          <w:vertAlign w:val="superscript"/>
        </w:rPr>
      </w:pPr>
      <w:r w:rsidRPr="000B03C4">
        <w:rPr>
          <w:rFonts w:ascii="Times New Roman" w:hAnsi="Times New Roman" w:cs="Times New Roman"/>
          <w:szCs w:val="24"/>
        </w:rPr>
        <w:t xml:space="preserve">Al producirse el genocidio nazi se crearon el Tribunal de Nuremberg y el Tribunal Penal Militar Internacional para el Lejano Oriente y el fenómeno de la Guerra Fría </w:t>
      </w:r>
      <w:r w:rsidRPr="000B03C4">
        <w:rPr>
          <w:rFonts w:ascii="Times New Roman" w:hAnsi="Times New Roman" w:cs="Times New Roman"/>
          <w:szCs w:val="24"/>
        </w:rPr>
        <w:lastRenderedPageBreak/>
        <w:t>despertó la conciencia de la necesidad de un órgano que amparar</w:t>
      </w:r>
      <w:r w:rsidR="006A2809" w:rsidRPr="000B03C4">
        <w:rPr>
          <w:rFonts w:ascii="Times New Roman" w:hAnsi="Times New Roman" w:cs="Times New Roman"/>
          <w:szCs w:val="24"/>
        </w:rPr>
        <w:t>a</w:t>
      </w:r>
      <w:r w:rsidRPr="000B03C4">
        <w:rPr>
          <w:rFonts w:ascii="Times New Roman" w:hAnsi="Times New Roman" w:cs="Times New Roman"/>
          <w:szCs w:val="24"/>
        </w:rPr>
        <w:t xml:space="preserve"> el re</w:t>
      </w:r>
      <w:r w:rsidR="006A2809" w:rsidRPr="000B03C4">
        <w:rPr>
          <w:rFonts w:ascii="Times New Roman" w:hAnsi="Times New Roman" w:cs="Times New Roman"/>
          <w:szCs w:val="24"/>
        </w:rPr>
        <w:t>s</w:t>
      </w:r>
      <w:r w:rsidRPr="000B03C4">
        <w:rPr>
          <w:rFonts w:ascii="Times New Roman" w:hAnsi="Times New Roman" w:cs="Times New Roman"/>
          <w:szCs w:val="24"/>
        </w:rPr>
        <w:t xml:space="preserve">peto por </w:t>
      </w:r>
      <w:r w:rsidR="006A2809" w:rsidRPr="000B03C4">
        <w:rPr>
          <w:rFonts w:ascii="Times New Roman" w:hAnsi="Times New Roman" w:cs="Times New Roman"/>
          <w:szCs w:val="24"/>
        </w:rPr>
        <w:t>l</w:t>
      </w:r>
      <w:r w:rsidRPr="000B03C4">
        <w:rPr>
          <w:rFonts w:ascii="Times New Roman" w:hAnsi="Times New Roman" w:cs="Times New Roman"/>
          <w:szCs w:val="24"/>
        </w:rPr>
        <w:t>os Derechos Humanos</w:t>
      </w:r>
      <w:r w:rsidR="006A2809" w:rsidRPr="000B03C4">
        <w:rPr>
          <w:rFonts w:ascii="Times New Roman" w:hAnsi="Times New Roman" w:cs="Times New Roman"/>
          <w:szCs w:val="24"/>
        </w:rPr>
        <w:t>-</w:t>
      </w:r>
      <w:r w:rsidRPr="000B03C4">
        <w:rPr>
          <w:rFonts w:ascii="Times New Roman" w:hAnsi="Times New Roman" w:cs="Times New Roman"/>
          <w:szCs w:val="24"/>
        </w:rPr>
        <w:t>. Ya en la década del 90 se crearon los Tribunales Ad Hoc para Yugoslavia y Ruanda. El Estatuto del Tr</w:t>
      </w:r>
      <w:r w:rsidR="00E378D6" w:rsidRPr="000B03C4">
        <w:rPr>
          <w:rFonts w:ascii="Times New Roman" w:hAnsi="Times New Roman" w:cs="Times New Roman"/>
          <w:szCs w:val="24"/>
        </w:rPr>
        <w:t xml:space="preserve">ibunal Penal Internacional </w:t>
      </w:r>
      <w:r w:rsidRPr="000B03C4">
        <w:rPr>
          <w:rFonts w:ascii="Times New Roman" w:hAnsi="Times New Roman" w:cs="Times New Roman"/>
          <w:szCs w:val="24"/>
        </w:rPr>
        <w:t xml:space="preserve"> fue adoptado el 17 de julio de 1998 en Roma y entró en vigor el 1 de julio de 2002.  </w:t>
      </w:r>
      <w:sdt>
        <w:sdtPr>
          <w:rPr>
            <w:rFonts w:ascii="Times New Roman" w:hAnsi="Times New Roman" w:cs="Times New Roman"/>
            <w:szCs w:val="24"/>
            <w:vertAlign w:val="superscript"/>
          </w:rPr>
          <w:id w:val="2094282120"/>
          <w:citation/>
        </w:sdtPr>
        <w:sdtEndPr/>
        <w:sdtContent>
          <w:r w:rsidRPr="000B03C4">
            <w:rPr>
              <w:rFonts w:ascii="Times New Roman" w:hAnsi="Times New Roman" w:cs="Times New Roman"/>
              <w:szCs w:val="24"/>
              <w:vertAlign w:val="superscript"/>
            </w:rPr>
            <w:fldChar w:fldCharType="begin"/>
          </w:r>
          <w:r w:rsidR="00497937" w:rsidRPr="000B03C4">
            <w:rPr>
              <w:rFonts w:ascii="Times New Roman" w:hAnsi="Times New Roman" w:cs="Times New Roman"/>
              <w:szCs w:val="24"/>
              <w:vertAlign w:val="superscript"/>
              <w:lang w:val="es-ES"/>
            </w:rPr>
            <w:instrText xml:space="preserve">CITATION htt1 \l 3082 </w:instrText>
          </w:r>
          <w:r w:rsidRPr="000B03C4">
            <w:rPr>
              <w:rFonts w:ascii="Times New Roman" w:hAnsi="Times New Roman" w:cs="Times New Roman"/>
              <w:szCs w:val="24"/>
              <w:vertAlign w:val="superscript"/>
            </w:rPr>
            <w:fldChar w:fldCharType="separate"/>
          </w:r>
          <w:r w:rsidR="00497937" w:rsidRPr="000B03C4">
            <w:rPr>
              <w:rFonts w:ascii="Times New Roman" w:hAnsi="Times New Roman" w:cs="Times New Roman"/>
              <w:noProof/>
              <w:szCs w:val="24"/>
              <w:lang w:val="es-ES"/>
            </w:rPr>
            <w:t>(.)</w:t>
          </w:r>
          <w:r w:rsidRPr="000B03C4">
            <w:rPr>
              <w:rFonts w:ascii="Times New Roman" w:hAnsi="Times New Roman" w:cs="Times New Roman"/>
              <w:szCs w:val="24"/>
              <w:vertAlign w:val="superscript"/>
            </w:rPr>
            <w:fldChar w:fldCharType="end"/>
          </w:r>
        </w:sdtContent>
      </w:sdt>
    </w:p>
    <w:p w:rsidR="009B6D80" w:rsidRPr="000B03C4" w:rsidRDefault="009B6D80" w:rsidP="009B6D80">
      <w:pPr>
        <w:pStyle w:val="Ttulo1"/>
        <w:rPr>
          <w:rStyle w:val="fontstyle01"/>
          <w:rFonts w:ascii="Times New Roman" w:hAnsi="Times New Roman" w:cs="Times New Roman"/>
          <w:color w:val="2E74B5" w:themeColor="accent1" w:themeShade="BF"/>
          <w:sz w:val="24"/>
          <w:szCs w:val="24"/>
        </w:rPr>
      </w:pPr>
      <w:r w:rsidRPr="000B03C4">
        <w:rPr>
          <w:rStyle w:val="fontstyle01"/>
          <w:rFonts w:ascii="Times New Roman" w:hAnsi="Times New Roman" w:cs="Times New Roman"/>
          <w:color w:val="2E74B5" w:themeColor="accent1" w:themeShade="BF"/>
          <w:sz w:val="24"/>
          <w:szCs w:val="24"/>
        </w:rPr>
        <w:t>Disposiciones comprendidas en el Derecho Penal Internacional</w:t>
      </w:r>
    </w:p>
    <w:p w:rsidR="002F308B" w:rsidRPr="000B03C4" w:rsidRDefault="001753F8" w:rsidP="001753F8">
      <w:pPr>
        <w:rPr>
          <w:rStyle w:val="fontstyle01"/>
          <w:rFonts w:ascii="Times New Roman" w:hAnsi="Times New Roman" w:cs="Times New Roman"/>
          <w:sz w:val="24"/>
          <w:szCs w:val="24"/>
        </w:rPr>
      </w:pPr>
      <w:r w:rsidRPr="000B03C4">
        <w:rPr>
          <w:rStyle w:val="fontstyle01"/>
          <w:rFonts w:ascii="Times New Roman" w:hAnsi="Times New Roman" w:cs="Times New Roman"/>
          <w:sz w:val="24"/>
          <w:szCs w:val="24"/>
        </w:rPr>
        <w:t>E</w:t>
      </w:r>
      <w:r w:rsidR="002F308B" w:rsidRPr="000B03C4">
        <w:rPr>
          <w:rStyle w:val="fontstyle01"/>
          <w:rFonts w:ascii="Times New Roman" w:hAnsi="Times New Roman" w:cs="Times New Roman"/>
          <w:sz w:val="24"/>
          <w:szCs w:val="24"/>
        </w:rPr>
        <w:t xml:space="preserve">l Derecho penal </w:t>
      </w:r>
      <w:r w:rsidRPr="000B03C4">
        <w:rPr>
          <w:rStyle w:val="fontstyle01"/>
          <w:rFonts w:ascii="Times New Roman" w:hAnsi="Times New Roman" w:cs="Times New Roman"/>
          <w:sz w:val="24"/>
          <w:szCs w:val="24"/>
        </w:rPr>
        <w:t>internacional</w:t>
      </w:r>
      <w:r w:rsidR="002F308B" w:rsidRPr="000B03C4">
        <w:rPr>
          <w:rStyle w:val="fontstyle01"/>
          <w:rFonts w:ascii="Times New Roman" w:hAnsi="Times New Roman" w:cs="Times New Roman"/>
          <w:sz w:val="24"/>
          <w:szCs w:val="24"/>
        </w:rPr>
        <w:t xml:space="preserve"> comprende una serie</w:t>
      </w:r>
      <w:r w:rsidRPr="000B03C4">
        <w:rPr>
          <w:rStyle w:val="fontstyle01"/>
          <w:rFonts w:ascii="Times New Roman" w:hAnsi="Times New Roman" w:cs="Times New Roman"/>
          <w:sz w:val="24"/>
          <w:szCs w:val="24"/>
        </w:rPr>
        <w:t xml:space="preserve"> </w:t>
      </w:r>
      <w:r w:rsidR="002F308B" w:rsidRPr="000B03C4">
        <w:rPr>
          <w:rStyle w:val="fontstyle01"/>
          <w:rFonts w:ascii="Times New Roman" w:hAnsi="Times New Roman" w:cs="Times New Roman"/>
          <w:sz w:val="24"/>
          <w:szCs w:val="24"/>
        </w:rPr>
        <w:t xml:space="preserve">de disposiciones </w:t>
      </w:r>
      <w:r w:rsidRPr="000B03C4">
        <w:rPr>
          <w:rStyle w:val="fontstyle01"/>
          <w:rFonts w:ascii="Times New Roman" w:hAnsi="Times New Roman" w:cs="Times New Roman"/>
          <w:sz w:val="24"/>
          <w:szCs w:val="24"/>
        </w:rPr>
        <w:t xml:space="preserve"> internacionales</w:t>
      </w:r>
      <w:r w:rsidR="002F308B" w:rsidRPr="000B03C4">
        <w:rPr>
          <w:rStyle w:val="fontstyle01"/>
          <w:rFonts w:ascii="Times New Roman" w:hAnsi="Times New Roman" w:cs="Times New Roman"/>
          <w:sz w:val="24"/>
          <w:szCs w:val="24"/>
        </w:rPr>
        <w:t xml:space="preserve"> establecidas por </w:t>
      </w:r>
      <w:r w:rsidRPr="000B03C4">
        <w:rPr>
          <w:rStyle w:val="fontstyle01"/>
          <w:rFonts w:ascii="Times New Roman" w:hAnsi="Times New Roman" w:cs="Times New Roman"/>
          <w:sz w:val="24"/>
          <w:szCs w:val="24"/>
        </w:rPr>
        <w:t>vía</w:t>
      </w:r>
      <w:r w:rsidR="002F308B" w:rsidRPr="000B03C4">
        <w:rPr>
          <w:rStyle w:val="fontstyle01"/>
          <w:rFonts w:ascii="Times New Roman" w:hAnsi="Times New Roman" w:cs="Times New Roman"/>
          <w:sz w:val="24"/>
          <w:szCs w:val="24"/>
        </w:rPr>
        <w:t xml:space="preserve"> consuetudinaria</w:t>
      </w:r>
      <w:r w:rsidRPr="000B03C4">
        <w:rPr>
          <w:rStyle w:val="fontstyle01"/>
          <w:rFonts w:ascii="Times New Roman" w:hAnsi="Times New Roman" w:cs="Times New Roman"/>
          <w:sz w:val="24"/>
          <w:szCs w:val="24"/>
        </w:rPr>
        <w:t xml:space="preserve"> </w:t>
      </w:r>
      <w:r w:rsidR="002F308B" w:rsidRPr="000B03C4">
        <w:rPr>
          <w:rStyle w:val="fontstyle01"/>
          <w:rFonts w:ascii="Times New Roman" w:hAnsi="Times New Roman" w:cs="Times New Roman"/>
          <w:sz w:val="24"/>
          <w:szCs w:val="24"/>
        </w:rPr>
        <w:t xml:space="preserve">o acordada, incriminadoras de ciertos tipos de conducta, independientemente del hecho de que su </w:t>
      </w:r>
      <w:r w:rsidRPr="000B03C4">
        <w:rPr>
          <w:rStyle w:val="fontstyle01"/>
          <w:rFonts w:ascii="Times New Roman" w:hAnsi="Times New Roman" w:cs="Times New Roman"/>
          <w:sz w:val="24"/>
          <w:szCs w:val="24"/>
        </w:rPr>
        <w:t>aplicación</w:t>
      </w:r>
      <w:r w:rsidR="002F308B" w:rsidRPr="000B03C4">
        <w:rPr>
          <w:rStyle w:val="fontstyle01"/>
          <w:rFonts w:ascii="Times New Roman" w:hAnsi="Times New Roman" w:cs="Times New Roman"/>
          <w:sz w:val="24"/>
          <w:szCs w:val="24"/>
        </w:rPr>
        <w:t xml:space="preserve"> se lleve a cabo interna o </w:t>
      </w:r>
      <w:r w:rsidRPr="000B03C4">
        <w:rPr>
          <w:rStyle w:val="fontstyle01"/>
          <w:rFonts w:ascii="Times New Roman" w:hAnsi="Times New Roman" w:cs="Times New Roman"/>
          <w:sz w:val="24"/>
          <w:szCs w:val="24"/>
        </w:rPr>
        <w:t xml:space="preserve">externamente. </w:t>
      </w:r>
      <w:r w:rsidR="002F308B" w:rsidRPr="000B03C4">
        <w:rPr>
          <w:rStyle w:val="fontstyle01"/>
          <w:rFonts w:ascii="Times New Roman" w:hAnsi="Times New Roman" w:cs="Times New Roman"/>
          <w:sz w:val="24"/>
          <w:szCs w:val="24"/>
        </w:rPr>
        <w:t xml:space="preserve">Su contenido </w:t>
      </w:r>
      <w:r w:rsidRPr="000B03C4">
        <w:rPr>
          <w:rStyle w:val="fontstyle01"/>
          <w:rFonts w:ascii="Times New Roman" w:hAnsi="Times New Roman" w:cs="Times New Roman"/>
          <w:sz w:val="24"/>
          <w:szCs w:val="24"/>
        </w:rPr>
        <w:t>puede extraerse a partir de la regulación</w:t>
      </w:r>
      <w:r w:rsidR="002F308B" w:rsidRPr="000B03C4">
        <w:rPr>
          <w:rStyle w:val="fontstyle01"/>
          <w:rFonts w:ascii="Times New Roman" w:hAnsi="Times New Roman" w:cs="Times New Roman"/>
          <w:sz w:val="24"/>
          <w:szCs w:val="24"/>
        </w:rPr>
        <w:t xml:space="preserve"> int</w:t>
      </w:r>
      <w:r w:rsidRPr="000B03C4">
        <w:rPr>
          <w:rStyle w:val="fontstyle01"/>
          <w:rFonts w:ascii="Times New Roman" w:hAnsi="Times New Roman" w:cs="Times New Roman"/>
          <w:sz w:val="24"/>
          <w:szCs w:val="24"/>
        </w:rPr>
        <w:t>ernacional de diversas materias</w:t>
      </w:r>
      <w:r w:rsidR="002F308B" w:rsidRPr="000B03C4">
        <w:rPr>
          <w:rStyle w:val="fontstyle01"/>
          <w:rFonts w:ascii="Times New Roman" w:hAnsi="Times New Roman" w:cs="Times New Roman"/>
          <w:sz w:val="24"/>
          <w:szCs w:val="24"/>
        </w:rPr>
        <w:t>: 1) El</w:t>
      </w:r>
      <w:r w:rsidRPr="000B03C4">
        <w:rPr>
          <w:rStyle w:val="fontstyle01"/>
          <w:rFonts w:ascii="Times New Roman" w:hAnsi="Times New Roman" w:cs="Times New Roman"/>
          <w:sz w:val="24"/>
          <w:szCs w:val="24"/>
        </w:rPr>
        <w:t xml:space="preserve"> control de la guerra;</w:t>
      </w:r>
      <w:r w:rsidR="002F308B" w:rsidRPr="000B03C4">
        <w:rPr>
          <w:rStyle w:val="fontstyle01"/>
          <w:rFonts w:ascii="Times New Roman" w:hAnsi="Times New Roman" w:cs="Times New Roman"/>
          <w:sz w:val="24"/>
          <w:szCs w:val="24"/>
        </w:rPr>
        <w:t xml:space="preserve"> 2) La </w:t>
      </w:r>
      <w:r w:rsidRPr="000B03C4">
        <w:rPr>
          <w:rStyle w:val="fontstyle01"/>
          <w:rFonts w:ascii="Times New Roman" w:hAnsi="Times New Roman" w:cs="Times New Roman"/>
          <w:sz w:val="24"/>
          <w:szCs w:val="24"/>
        </w:rPr>
        <w:t>reglamentación</w:t>
      </w:r>
      <w:r w:rsidR="002F308B" w:rsidRPr="000B03C4">
        <w:rPr>
          <w:rStyle w:val="fontstyle01"/>
          <w:rFonts w:ascii="Times New Roman" w:hAnsi="Times New Roman" w:cs="Times New Roman"/>
          <w:sz w:val="24"/>
          <w:szCs w:val="24"/>
        </w:rPr>
        <w:t xml:space="preserve"> de los conflictos </w:t>
      </w:r>
      <w:r w:rsidRPr="000B03C4">
        <w:rPr>
          <w:rStyle w:val="fontstyle01"/>
          <w:rFonts w:ascii="Times New Roman" w:hAnsi="Times New Roman" w:cs="Times New Roman"/>
          <w:sz w:val="24"/>
          <w:szCs w:val="24"/>
        </w:rPr>
        <w:t>armados</w:t>
      </w:r>
      <w:r w:rsidR="002F308B" w:rsidRPr="000B03C4">
        <w:rPr>
          <w:rStyle w:val="fontstyle01"/>
          <w:rFonts w:ascii="Times New Roman" w:hAnsi="Times New Roman" w:cs="Times New Roman"/>
          <w:sz w:val="24"/>
          <w:szCs w:val="24"/>
        </w:rPr>
        <w:t xml:space="preserve">; 3) La </w:t>
      </w:r>
      <w:r w:rsidRPr="000B03C4">
        <w:rPr>
          <w:rStyle w:val="fontstyle01"/>
          <w:rFonts w:ascii="Times New Roman" w:hAnsi="Times New Roman" w:cs="Times New Roman"/>
          <w:sz w:val="24"/>
          <w:szCs w:val="24"/>
        </w:rPr>
        <w:t>persecución de las infracciones de l</w:t>
      </w:r>
      <w:r w:rsidR="002F308B" w:rsidRPr="000B03C4">
        <w:rPr>
          <w:rStyle w:val="fontstyle01"/>
          <w:rFonts w:ascii="Times New Roman" w:hAnsi="Times New Roman" w:cs="Times New Roman"/>
          <w:sz w:val="24"/>
          <w:szCs w:val="24"/>
        </w:rPr>
        <w:t xml:space="preserve">as leyes de guerra (en su </w:t>
      </w:r>
      <w:r w:rsidRPr="000B03C4">
        <w:rPr>
          <w:rStyle w:val="fontstyle01"/>
          <w:rFonts w:ascii="Times New Roman" w:hAnsi="Times New Roman" w:cs="Times New Roman"/>
          <w:sz w:val="24"/>
          <w:szCs w:val="24"/>
        </w:rPr>
        <w:t>iniciación</w:t>
      </w:r>
      <w:r w:rsidR="002F308B" w:rsidRPr="000B03C4">
        <w:rPr>
          <w:rStyle w:val="fontstyle01"/>
          <w:rFonts w:ascii="Times New Roman" w:hAnsi="Times New Roman" w:cs="Times New Roman"/>
          <w:sz w:val="24"/>
          <w:szCs w:val="24"/>
        </w:rPr>
        <w:t xml:space="preserve"> y desarrollo); y 4) Delitos comunes de </w:t>
      </w:r>
      <w:r w:rsidRPr="000B03C4">
        <w:rPr>
          <w:rStyle w:val="fontstyle01"/>
          <w:rFonts w:ascii="Times New Roman" w:hAnsi="Times New Roman" w:cs="Times New Roman"/>
          <w:sz w:val="24"/>
          <w:szCs w:val="24"/>
        </w:rPr>
        <w:t>interés</w:t>
      </w:r>
      <w:r w:rsidR="002F308B" w:rsidRPr="000B03C4">
        <w:rPr>
          <w:rStyle w:val="fontstyle01"/>
          <w:rFonts w:ascii="Times New Roman" w:hAnsi="Times New Roman" w:cs="Times New Roman"/>
          <w:sz w:val="24"/>
          <w:szCs w:val="24"/>
        </w:rPr>
        <w:t xml:space="preserve"> </w:t>
      </w:r>
      <w:r w:rsidRPr="000B03C4">
        <w:rPr>
          <w:rStyle w:val="fontstyle01"/>
          <w:rFonts w:ascii="Times New Roman" w:hAnsi="Times New Roman" w:cs="Times New Roman"/>
          <w:sz w:val="24"/>
          <w:szCs w:val="24"/>
        </w:rPr>
        <w:t>internacional</w:t>
      </w:r>
      <w:r w:rsidR="002F308B" w:rsidRPr="000B03C4">
        <w:rPr>
          <w:rStyle w:val="fontstyle01"/>
          <w:rFonts w:ascii="Times New Roman" w:hAnsi="Times New Roman" w:cs="Times New Roman"/>
          <w:sz w:val="24"/>
          <w:szCs w:val="24"/>
        </w:rPr>
        <w:t>.</w:t>
      </w:r>
    </w:p>
    <w:p w:rsidR="001753F8" w:rsidRPr="000B03C4" w:rsidRDefault="001753F8" w:rsidP="001753F8">
      <w:pPr>
        <w:rPr>
          <w:rStyle w:val="fontstyle01"/>
          <w:rFonts w:ascii="Times New Roman" w:hAnsi="Times New Roman" w:cs="Times New Roman"/>
          <w:sz w:val="24"/>
          <w:szCs w:val="24"/>
        </w:rPr>
      </w:pPr>
      <w:r w:rsidRPr="000B03C4">
        <w:rPr>
          <w:rStyle w:val="fontstyle01"/>
          <w:rFonts w:ascii="Times New Roman" w:hAnsi="Times New Roman" w:cs="Times New Roman"/>
          <w:sz w:val="24"/>
          <w:szCs w:val="24"/>
        </w:rPr>
        <w:t xml:space="preserve">Estos últimos se dividen en dos categorías: la primera comprensiva de las conductas de los individuos realizadas en provecho de sus propios fines e intereses; y la segunda, de las conductas individuales realizadas en favor de la política de un Estado </w:t>
      </w:r>
      <w:r w:rsidR="0037775D" w:rsidRPr="000B03C4">
        <w:rPr>
          <w:rStyle w:val="fontstyle01"/>
          <w:rFonts w:ascii="Times New Roman" w:hAnsi="Times New Roman" w:cs="Times New Roman"/>
          <w:sz w:val="24"/>
          <w:szCs w:val="24"/>
        </w:rPr>
        <w:t>dado o en apoyo de un Estado.</w:t>
      </w:r>
    </w:p>
    <w:p w:rsidR="0037775D" w:rsidRPr="000B03C4" w:rsidRDefault="0037775D" w:rsidP="001753F8">
      <w:pPr>
        <w:rPr>
          <w:rFonts w:ascii="Times New Roman" w:hAnsi="Times New Roman" w:cs="Times New Roman"/>
          <w:color w:val="000000"/>
          <w:szCs w:val="24"/>
          <w:vertAlign w:val="superscript"/>
        </w:rPr>
      </w:pPr>
      <w:r w:rsidRPr="000B03C4">
        <w:rPr>
          <w:rFonts w:ascii="Times New Roman" w:hAnsi="Times New Roman" w:cs="Times New Roman"/>
          <w:color w:val="000000"/>
          <w:szCs w:val="24"/>
        </w:rPr>
        <w:t xml:space="preserve">En la segunda categoría se considera una serie de convenios que tienen en cuenta instrumentos internacionales sobre derechos humanos como la  “Declaración Universal de Derechos Humanos”, el “Pacto Internacional de Derecho Civiles y Políticos”, el “Convenio Europeo para la Protección de los Derechos Humanos </w:t>
      </w:r>
      <w:r w:rsidR="00785083" w:rsidRPr="000B03C4">
        <w:rPr>
          <w:rFonts w:ascii="Times New Roman" w:hAnsi="Times New Roman" w:cs="Times New Roman"/>
          <w:color w:val="000000"/>
          <w:szCs w:val="24"/>
        </w:rPr>
        <w:t>y</w:t>
      </w:r>
      <w:r w:rsidRPr="000B03C4">
        <w:rPr>
          <w:rFonts w:ascii="Times New Roman" w:hAnsi="Times New Roman" w:cs="Times New Roman"/>
          <w:color w:val="000000"/>
          <w:szCs w:val="24"/>
        </w:rPr>
        <w:t xml:space="preserve"> las Libertades Fundamentales” y el “Convenio Interamericano sobre los Derechos del Hombre”. </w:t>
      </w:r>
      <w:sdt>
        <w:sdtPr>
          <w:rPr>
            <w:rFonts w:ascii="Times New Roman" w:hAnsi="Times New Roman" w:cs="Times New Roman"/>
            <w:color w:val="000000"/>
            <w:szCs w:val="24"/>
            <w:vertAlign w:val="superscript"/>
          </w:rPr>
          <w:id w:val="-1040895005"/>
          <w:citation/>
        </w:sdtPr>
        <w:sdtEndPr/>
        <w:sdtContent>
          <w:r w:rsidRPr="000B03C4">
            <w:rPr>
              <w:rFonts w:ascii="Times New Roman" w:hAnsi="Times New Roman" w:cs="Times New Roman"/>
              <w:color w:val="000000"/>
              <w:szCs w:val="24"/>
              <w:vertAlign w:val="superscript"/>
            </w:rPr>
            <w:fldChar w:fldCharType="begin"/>
          </w:r>
          <w:r w:rsidRPr="000B03C4">
            <w:rPr>
              <w:rFonts w:ascii="Times New Roman" w:hAnsi="Times New Roman" w:cs="Times New Roman"/>
              <w:color w:val="000000"/>
              <w:szCs w:val="24"/>
              <w:vertAlign w:val="superscript"/>
              <w:lang w:val="es-ES"/>
            </w:rPr>
            <w:instrText xml:space="preserve"> CITATION Bas67 \l 3082 </w:instrText>
          </w:r>
          <w:r w:rsidRPr="000B03C4">
            <w:rPr>
              <w:rFonts w:ascii="Times New Roman" w:hAnsi="Times New Roman" w:cs="Times New Roman"/>
              <w:color w:val="000000"/>
              <w:szCs w:val="24"/>
              <w:vertAlign w:val="superscript"/>
            </w:rPr>
            <w:fldChar w:fldCharType="separate"/>
          </w:r>
          <w:r w:rsidR="00497937" w:rsidRPr="000B03C4">
            <w:rPr>
              <w:rFonts w:ascii="Times New Roman" w:hAnsi="Times New Roman" w:cs="Times New Roman"/>
              <w:noProof/>
              <w:color w:val="000000"/>
              <w:szCs w:val="24"/>
              <w:lang w:val="es-ES"/>
            </w:rPr>
            <w:t>(Bassiouni, 1967)</w:t>
          </w:r>
          <w:r w:rsidRPr="000B03C4">
            <w:rPr>
              <w:rFonts w:ascii="Times New Roman" w:hAnsi="Times New Roman" w:cs="Times New Roman"/>
              <w:color w:val="000000"/>
              <w:szCs w:val="24"/>
              <w:vertAlign w:val="superscript"/>
            </w:rPr>
            <w:fldChar w:fldCharType="end"/>
          </w:r>
        </w:sdtContent>
      </w:sdt>
    </w:p>
    <w:p w:rsidR="009B6D80" w:rsidRPr="000B03C4" w:rsidRDefault="009B6D80" w:rsidP="009B6D80">
      <w:pPr>
        <w:pStyle w:val="Ttulo1"/>
        <w:rPr>
          <w:rFonts w:ascii="Times New Roman" w:hAnsi="Times New Roman" w:cs="Times New Roman"/>
          <w:sz w:val="24"/>
          <w:szCs w:val="24"/>
        </w:rPr>
      </w:pPr>
      <w:r w:rsidRPr="000B03C4">
        <w:rPr>
          <w:rFonts w:ascii="Times New Roman" w:hAnsi="Times New Roman" w:cs="Times New Roman"/>
          <w:sz w:val="24"/>
          <w:szCs w:val="24"/>
        </w:rPr>
        <w:t>Derechos humanos en el Derecho Penal Internacional</w:t>
      </w:r>
    </w:p>
    <w:p w:rsidR="009F36C6" w:rsidRPr="000B03C4" w:rsidRDefault="009F36C6" w:rsidP="001753F8">
      <w:pPr>
        <w:rPr>
          <w:rFonts w:ascii="Times New Roman" w:hAnsi="Times New Roman" w:cs="Times New Roman"/>
          <w:color w:val="000000"/>
          <w:szCs w:val="24"/>
          <w:vertAlign w:val="superscript"/>
        </w:rPr>
      </w:pPr>
      <w:r w:rsidRPr="000B03C4">
        <w:rPr>
          <w:rFonts w:ascii="Times New Roman" w:hAnsi="Times New Roman" w:cs="Times New Roman"/>
          <w:szCs w:val="24"/>
        </w:rPr>
        <w:t xml:space="preserve">La Declaración Americana de Derechos y Deberes del Hombre consagra los derechos a la vida, la libertad y la seguridad de las personas; al reconocimiento de la personalidad jurídica; el derecho de igualdad ante la ley y a no ser discriminados en el goce de los derechos humanos consagrados; el derecho de libertad religiosa y de culto; el derecho a la nacionalidad; el derecho a la libertad de investigación, de opinión y expresión; el derecho a la protección de la honra, la reputación personal, la vida privada, y a la </w:t>
      </w:r>
      <w:r w:rsidRPr="000B03C4">
        <w:rPr>
          <w:rFonts w:ascii="Times New Roman" w:hAnsi="Times New Roman" w:cs="Times New Roman"/>
          <w:szCs w:val="24"/>
        </w:rPr>
        <w:lastRenderedPageBreak/>
        <w:t>inviolabilidad del domicilio y la correspondencia; a constituir y a recibir protección para la familia; el derecho a la propiedad; derecho a la protección de la maternidad y la infancia; el derecho de residencia y tránsito y el derecho de asilo</w:t>
      </w:r>
      <w:r w:rsidR="00E378D6" w:rsidRPr="000B03C4">
        <w:rPr>
          <w:rFonts w:ascii="Times New Roman" w:hAnsi="Times New Roman" w:cs="Times New Roman"/>
          <w:szCs w:val="24"/>
        </w:rPr>
        <w:t xml:space="preserve">; derecho a la justicia o a la igualdad ante la ley; la protección contra la detención arbitraria y a la presunción de inocencia; el derecho al sufragio y a la participación en el gobierno; y los derechos de reunión y de asociación pacíficas; el derecho al trabajo, a una justa retribución, al descanso </w:t>
      </w:r>
      <w:sdt>
        <w:sdtPr>
          <w:rPr>
            <w:rFonts w:ascii="Times New Roman" w:hAnsi="Times New Roman" w:cs="Times New Roman"/>
            <w:szCs w:val="24"/>
          </w:rPr>
          <w:id w:val="1867872360"/>
          <w:citation/>
        </w:sdtPr>
        <w:sdtEndPr/>
        <w:sdtContent>
          <w:r w:rsidR="009B6D80" w:rsidRPr="000B03C4">
            <w:rPr>
              <w:rFonts w:ascii="Times New Roman" w:hAnsi="Times New Roman" w:cs="Times New Roman"/>
              <w:szCs w:val="24"/>
            </w:rPr>
            <w:fldChar w:fldCharType="begin"/>
          </w:r>
          <w:r w:rsidR="009B6D80" w:rsidRPr="000B03C4">
            <w:rPr>
              <w:rFonts w:ascii="Times New Roman" w:hAnsi="Times New Roman" w:cs="Times New Roman"/>
              <w:szCs w:val="24"/>
              <w:lang w:val="es-ES"/>
            </w:rPr>
            <w:instrText xml:space="preserve">CITATION Dec48 \l 3082 </w:instrText>
          </w:r>
          <w:r w:rsidR="009B6D80" w:rsidRPr="000B03C4">
            <w:rPr>
              <w:rFonts w:ascii="Times New Roman" w:hAnsi="Times New Roman" w:cs="Times New Roman"/>
              <w:szCs w:val="24"/>
            </w:rPr>
            <w:fldChar w:fldCharType="separate"/>
          </w:r>
          <w:r w:rsidR="00497937" w:rsidRPr="000B03C4">
            <w:rPr>
              <w:rFonts w:ascii="Times New Roman" w:hAnsi="Times New Roman" w:cs="Times New Roman"/>
              <w:noProof/>
              <w:szCs w:val="24"/>
              <w:lang w:val="es-ES"/>
            </w:rPr>
            <w:t>(Declaración Americana de Derechos y Deberes del Hombre: resolución XI-XXXVIII . Conferencia Interamericana, 1948)</w:t>
          </w:r>
          <w:r w:rsidR="009B6D80" w:rsidRPr="000B03C4">
            <w:rPr>
              <w:rFonts w:ascii="Times New Roman" w:hAnsi="Times New Roman" w:cs="Times New Roman"/>
              <w:szCs w:val="24"/>
            </w:rPr>
            <w:fldChar w:fldCharType="end"/>
          </w:r>
        </w:sdtContent>
      </w:sdt>
      <w:r w:rsidR="009B6D80" w:rsidRPr="000B03C4">
        <w:rPr>
          <w:rFonts w:ascii="Times New Roman" w:hAnsi="Times New Roman" w:cs="Times New Roman"/>
          <w:szCs w:val="24"/>
        </w:rPr>
        <w:t xml:space="preserve"> </w:t>
      </w:r>
      <w:r w:rsidR="00E378D6" w:rsidRPr="000B03C4">
        <w:rPr>
          <w:rFonts w:ascii="Times New Roman" w:hAnsi="Times New Roman" w:cs="Times New Roman"/>
          <w:szCs w:val="24"/>
        </w:rPr>
        <w:t xml:space="preserve">y al aprovechamiento del tiempo libre; y a gozar los beneficios de la seguridad social que les proteja por causa de desocupación, vejez o incapacidad; el derecho a la preservación de la salud y el bienestar social; el derecho a la educación; y a gozar de los beneficios de la cultura. </w:t>
      </w:r>
      <w:sdt>
        <w:sdtPr>
          <w:rPr>
            <w:rFonts w:ascii="Times New Roman" w:hAnsi="Times New Roman" w:cs="Times New Roman"/>
            <w:szCs w:val="24"/>
            <w:vertAlign w:val="superscript"/>
          </w:rPr>
          <w:id w:val="2032300924"/>
          <w:citation/>
        </w:sdtPr>
        <w:sdtEndPr/>
        <w:sdtContent>
          <w:r w:rsidR="00E378D6" w:rsidRPr="000B03C4">
            <w:rPr>
              <w:rFonts w:ascii="Times New Roman" w:hAnsi="Times New Roman" w:cs="Times New Roman"/>
              <w:szCs w:val="24"/>
              <w:vertAlign w:val="superscript"/>
            </w:rPr>
            <w:fldChar w:fldCharType="begin"/>
          </w:r>
          <w:r w:rsidR="003A1588" w:rsidRPr="000B03C4">
            <w:rPr>
              <w:rFonts w:ascii="Times New Roman" w:hAnsi="Times New Roman" w:cs="Times New Roman"/>
              <w:szCs w:val="24"/>
              <w:vertAlign w:val="superscript"/>
              <w:lang w:val="es-ES"/>
            </w:rPr>
            <w:instrText xml:space="preserve">CITATION Dec48 \l 3082 </w:instrText>
          </w:r>
          <w:r w:rsidR="00E378D6" w:rsidRPr="000B03C4">
            <w:rPr>
              <w:rFonts w:ascii="Times New Roman" w:hAnsi="Times New Roman" w:cs="Times New Roman"/>
              <w:szCs w:val="24"/>
              <w:vertAlign w:val="superscript"/>
            </w:rPr>
            <w:fldChar w:fldCharType="separate"/>
          </w:r>
          <w:r w:rsidR="00497937" w:rsidRPr="000B03C4">
            <w:rPr>
              <w:rFonts w:ascii="Times New Roman" w:hAnsi="Times New Roman" w:cs="Times New Roman"/>
              <w:noProof/>
              <w:szCs w:val="24"/>
              <w:lang w:val="es-ES"/>
            </w:rPr>
            <w:t>(Declaración Americana de Derechos y Deberes del Hombre: resolución XI-XXXVIII . Conferencia Interamericana, 1948)</w:t>
          </w:r>
          <w:r w:rsidR="00E378D6" w:rsidRPr="000B03C4">
            <w:rPr>
              <w:rFonts w:ascii="Times New Roman" w:hAnsi="Times New Roman" w:cs="Times New Roman"/>
              <w:szCs w:val="24"/>
              <w:vertAlign w:val="superscript"/>
            </w:rPr>
            <w:fldChar w:fldCharType="end"/>
          </w:r>
        </w:sdtContent>
      </w:sdt>
    </w:p>
    <w:p w:rsidR="003568D0" w:rsidRPr="000B03C4" w:rsidRDefault="003568D0" w:rsidP="001753F8">
      <w:pPr>
        <w:rPr>
          <w:rFonts w:ascii="Times New Roman" w:hAnsi="Times New Roman" w:cs="Times New Roman"/>
          <w:color w:val="000000"/>
          <w:szCs w:val="24"/>
        </w:rPr>
      </w:pPr>
      <w:r w:rsidRPr="000B03C4">
        <w:rPr>
          <w:rFonts w:ascii="Times New Roman" w:hAnsi="Times New Roman" w:cs="Times New Roman"/>
          <w:color w:val="000000"/>
          <w:szCs w:val="24"/>
        </w:rPr>
        <w:t xml:space="preserve">El derecho internacional ha impactado en las normativas de cada Estado, La Declaración Universal de los Derechos Humanos constituye el referente para establecer  los derechos constitucionales del individuo. </w:t>
      </w:r>
    </w:p>
    <w:p w:rsidR="00785083" w:rsidRPr="000B03C4" w:rsidRDefault="00785083" w:rsidP="001753F8">
      <w:pPr>
        <w:rPr>
          <w:rFonts w:ascii="Times New Roman" w:hAnsi="Times New Roman" w:cs="Times New Roman"/>
          <w:i/>
          <w:color w:val="231F20"/>
          <w:szCs w:val="24"/>
          <w:vertAlign w:val="superscript"/>
        </w:rPr>
      </w:pPr>
      <w:r w:rsidRPr="000B03C4">
        <w:rPr>
          <w:rFonts w:ascii="Times New Roman" w:hAnsi="Times New Roman" w:cs="Times New Roman"/>
          <w:i/>
          <w:color w:val="231F20"/>
          <w:szCs w:val="24"/>
        </w:rPr>
        <w:t>(…) pretender que los derechos humanos son simplemente una exótica</w:t>
      </w:r>
      <w:r w:rsidRPr="000B03C4">
        <w:rPr>
          <w:rFonts w:ascii="Times New Roman" w:hAnsi="Times New Roman" w:cs="Times New Roman"/>
          <w:i/>
          <w:color w:val="231F20"/>
          <w:szCs w:val="24"/>
        </w:rPr>
        <w:br/>
        <w:t>innovación en el campo del Derecho Internacional, equivale a no comprender</w:t>
      </w:r>
      <w:r w:rsidRPr="000B03C4">
        <w:rPr>
          <w:rFonts w:ascii="Times New Roman" w:hAnsi="Times New Roman" w:cs="Times New Roman"/>
          <w:i/>
          <w:color w:val="231F20"/>
          <w:szCs w:val="24"/>
        </w:rPr>
        <w:br/>
        <w:t>sus verdaderas dimensiones ni el impacto de los mismos tanto en las sociedades</w:t>
      </w:r>
      <w:r w:rsidRPr="000B03C4">
        <w:rPr>
          <w:rFonts w:ascii="Times New Roman" w:hAnsi="Times New Roman" w:cs="Times New Roman"/>
          <w:i/>
          <w:color w:val="231F20"/>
          <w:szCs w:val="24"/>
        </w:rPr>
        <w:br/>
        <w:t>nacionales como en la sociedad internacional. Más allá de sus aspectos</w:t>
      </w:r>
      <w:r w:rsidRPr="000B03C4">
        <w:rPr>
          <w:rFonts w:ascii="Times New Roman" w:hAnsi="Times New Roman" w:cs="Times New Roman"/>
          <w:i/>
          <w:color w:val="231F20"/>
          <w:szCs w:val="24"/>
        </w:rPr>
        <w:br/>
        <w:t>normativos, los derechos humanos son el producto de las luchas políticas y</w:t>
      </w:r>
      <w:r w:rsidRPr="000B03C4">
        <w:rPr>
          <w:rFonts w:ascii="Times New Roman" w:hAnsi="Times New Roman" w:cs="Times New Roman"/>
          <w:i/>
          <w:color w:val="231F20"/>
          <w:szCs w:val="24"/>
        </w:rPr>
        <w:br/>
        <w:t>dependen de factores históricos y sociales, que reflejan los valores y aspiraciones</w:t>
      </w:r>
      <w:r w:rsidRPr="000B03C4">
        <w:rPr>
          <w:rFonts w:ascii="Times New Roman" w:hAnsi="Times New Roman" w:cs="Times New Roman"/>
          <w:i/>
          <w:color w:val="231F20"/>
          <w:szCs w:val="24"/>
        </w:rPr>
        <w:br/>
        <w:t xml:space="preserve">de cada sociedad. </w:t>
      </w:r>
      <w:sdt>
        <w:sdtPr>
          <w:rPr>
            <w:rFonts w:ascii="Times New Roman" w:hAnsi="Times New Roman" w:cs="Times New Roman"/>
            <w:i/>
            <w:color w:val="231F20"/>
            <w:szCs w:val="24"/>
            <w:vertAlign w:val="superscript"/>
          </w:rPr>
          <w:id w:val="2044852902"/>
          <w:citation/>
        </w:sdtPr>
        <w:sdtEndPr/>
        <w:sdtContent>
          <w:r w:rsidRPr="000B03C4">
            <w:rPr>
              <w:rFonts w:ascii="Times New Roman" w:hAnsi="Times New Roman" w:cs="Times New Roman"/>
              <w:i/>
              <w:color w:val="231F20"/>
              <w:szCs w:val="24"/>
              <w:vertAlign w:val="superscript"/>
            </w:rPr>
            <w:fldChar w:fldCharType="begin"/>
          </w:r>
          <w:r w:rsidRPr="000B03C4">
            <w:rPr>
              <w:rFonts w:ascii="Times New Roman" w:hAnsi="Times New Roman" w:cs="Times New Roman"/>
              <w:i/>
              <w:color w:val="231F20"/>
              <w:szCs w:val="24"/>
              <w:vertAlign w:val="superscript"/>
              <w:lang w:val="es-ES"/>
            </w:rPr>
            <w:instrText xml:space="preserve"> CITATION Faú04 \l 3082 </w:instrText>
          </w:r>
          <w:r w:rsidRPr="000B03C4">
            <w:rPr>
              <w:rFonts w:ascii="Times New Roman" w:hAnsi="Times New Roman" w:cs="Times New Roman"/>
              <w:i/>
              <w:color w:val="231F20"/>
              <w:szCs w:val="24"/>
              <w:vertAlign w:val="superscript"/>
            </w:rPr>
            <w:fldChar w:fldCharType="separate"/>
          </w:r>
          <w:r w:rsidR="00497937" w:rsidRPr="000B03C4">
            <w:rPr>
              <w:rFonts w:ascii="Times New Roman" w:hAnsi="Times New Roman" w:cs="Times New Roman"/>
              <w:noProof/>
              <w:color w:val="231F20"/>
              <w:szCs w:val="24"/>
              <w:lang w:val="es-ES"/>
            </w:rPr>
            <w:t>(Faúndez Ledesma, 2004)</w:t>
          </w:r>
          <w:r w:rsidRPr="000B03C4">
            <w:rPr>
              <w:rFonts w:ascii="Times New Roman" w:hAnsi="Times New Roman" w:cs="Times New Roman"/>
              <w:i/>
              <w:color w:val="231F20"/>
              <w:szCs w:val="24"/>
              <w:vertAlign w:val="superscript"/>
            </w:rPr>
            <w:fldChar w:fldCharType="end"/>
          </w:r>
        </w:sdtContent>
      </w:sdt>
    </w:p>
    <w:p w:rsidR="00173736" w:rsidRPr="000B03C4" w:rsidRDefault="00785083" w:rsidP="001753F8">
      <w:pPr>
        <w:rPr>
          <w:rFonts w:ascii="Times New Roman" w:hAnsi="Times New Roman" w:cs="Times New Roman"/>
          <w:color w:val="231F20"/>
          <w:szCs w:val="24"/>
        </w:rPr>
      </w:pPr>
      <w:r w:rsidRPr="000B03C4">
        <w:rPr>
          <w:rFonts w:ascii="Times New Roman" w:hAnsi="Times New Roman" w:cs="Times New Roman"/>
          <w:color w:val="231F20"/>
          <w:szCs w:val="24"/>
        </w:rPr>
        <w:t>Este planteamiento de Ledesma refleja fundamentalmente la necesidad de representación jurídica de los sectores más desfavorecidos de la sociedad</w:t>
      </w:r>
      <w:r w:rsidR="00E17B04" w:rsidRPr="000B03C4">
        <w:rPr>
          <w:rFonts w:ascii="Times New Roman" w:hAnsi="Times New Roman" w:cs="Times New Roman"/>
          <w:color w:val="231F20"/>
          <w:szCs w:val="24"/>
        </w:rPr>
        <w:t xml:space="preserve"> y, al reconocerse la inherencia de estos derechos, quedan implícitas consecuencias como que el ejercicio de poder debe someterse a la protección y garantía de los mismos, son universales, transnacionales, irreversibles y progresivos. </w:t>
      </w:r>
      <w:r w:rsidR="009F36C6" w:rsidRPr="000B03C4">
        <w:rPr>
          <w:rFonts w:ascii="Times New Roman" w:hAnsi="Times New Roman" w:cs="Times New Roman"/>
          <w:color w:val="231F20"/>
          <w:szCs w:val="24"/>
        </w:rPr>
        <w:t xml:space="preserve">Una vez que se ha establecido el alcance de los derechos humanos queda claro que ninguna justificación de naturaleza de “orden público” o “bienestar social” los puede vulnerar. </w:t>
      </w:r>
      <w:r w:rsidR="00E17B04" w:rsidRPr="000B03C4">
        <w:rPr>
          <w:rFonts w:ascii="Times New Roman" w:hAnsi="Times New Roman" w:cs="Times New Roman"/>
          <w:color w:val="231F20"/>
          <w:szCs w:val="24"/>
        </w:rPr>
        <w:t xml:space="preserve">Históricamente el ejercicio </w:t>
      </w:r>
      <w:r w:rsidR="00E17B04" w:rsidRPr="000B03C4">
        <w:rPr>
          <w:rFonts w:ascii="Times New Roman" w:hAnsi="Times New Roman" w:cs="Times New Roman"/>
          <w:color w:val="231F20"/>
          <w:szCs w:val="24"/>
        </w:rPr>
        <w:lastRenderedPageBreak/>
        <w:t>de este derecho ha sido pobre al enfrentarse a prácticas estatales violatorias, puesto que son frecuentemente cometidas por el poder público empleando todos los medios de que dispone: el persuasivo y el coercitivo</w:t>
      </w:r>
      <w:sdt>
        <w:sdtPr>
          <w:rPr>
            <w:rFonts w:ascii="Times New Roman" w:hAnsi="Times New Roman" w:cs="Times New Roman"/>
            <w:color w:val="231F20"/>
            <w:szCs w:val="24"/>
          </w:rPr>
          <w:id w:val="2100211948"/>
          <w:citation/>
        </w:sdtPr>
        <w:sdtEndPr/>
        <w:sdtContent>
          <w:r w:rsidR="00173736" w:rsidRPr="000B03C4">
            <w:rPr>
              <w:rFonts w:ascii="Times New Roman" w:hAnsi="Times New Roman" w:cs="Times New Roman"/>
              <w:color w:val="231F20"/>
              <w:szCs w:val="24"/>
            </w:rPr>
            <w:fldChar w:fldCharType="begin"/>
          </w:r>
          <w:r w:rsidR="00173736" w:rsidRPr="000B03C4">
            <w:rPr>
              <w:rFonts w:ascii="Times New Roman" w:hAnsi="Times New Roman" w:cs="Times New Roman"/>
              <w:color w:val="231F20"/>
              <w:szCs w:val="24"/>
              <w:lang w:val="es-ES"/>
            </w:rPr>
            <w:instrText xml:space="preserve"> CITATION Nik \l 3082 </w:instrText>
          </w:r>
          <w:r w:rsidR="00173736" w:rsidRPr="000B03C4">
            <w:rPr>
              <w:rFonts w:ascii="Times New Roman" w:hAnsi="Times New Roman" w:cs="Times New Roman"/>
              <w:color w:val="231F20"/>
              <w:szCs w:val="24"/>
            </w:rPr>
            <w:fldChar w:fldCharType="separate"/>
          </w:r>
          <w:r w:rsidR="00497937" w:rsidRPr="000B03C4">
            <w:rPr>
              <w:rFonts w:ascii="Times New Roman" w:hAnsi="Times New Roman" w:cs="Times New Roman"/>
              <w:noProof/>
              <w:color w:val="231F20"/>
              <w:szCs w:val="24"/>
              <w:lang w:val="es-ES"/>
            </w:rPr>
            <w:t xml:space="preserve"> (Nikken)</w:t>
          </w:r>
          <w:r w:rsidR="00173736" w:rsidRPr="000B03C4">
            <w:rPr>
              <w:rFonts w:ascii="Times New Roman" w:hAnsi="Times New Roman" w:cs="Times New Roman"/>
              <w:color w:val="231F20"/>
              <w:szCs w:val="24"/>
            </w:rPr>
            <w:fldChar w:fldCharType="end"/>
          </w:r>
        </w:sdtContent>
      </w:sdt>
      <w:r w:rsidR="009F36C6" w:rsidRPr="000B03C4">
        <w:rPr>
          <w:rFonts w:ascii="Times New Roman" w:hAnsi="Times New Roman" w:cs="Times New Roman"/>
          <w:color w:val="231F20"/>
          <w:szCs w:val="24"/>
        </w:rPr>
        <w:t xml:space="preserve"> </w:t>
      </w:r>
    </w:p>
    <w:p w:rsidR="009F36C6" w:rsidRPr="000B03C4" w:rsidRDefault="00173736" w:rsidP="001753F8">
      <w:pPr>
        <w:rPr>
          <w:rFonts w:ascii="Times New Roman" w:hAnsi="Times New Roman" w:cs="Times New Roman"/>
          <w:color w:val="231F20"/>
          <w:szCs w:val="24"/>
        </w:rPr>
      </w:pPr>
      <w:r w:rsidRPr="000B03C4">
        <w:rPr>
          <w:rFonts w:ascii="Times New Roman" w:hAnsi="Times New Roman" w:cs="Times New Roman"/>
          <w:color w:val="231F20"/>
          <w:szCs w:val="24"/>
        </w:rPr>
        <w:t xml:space="preserve">En un Estado de Derecho la garantía de los derechos humanos impone al estado el deber de asegurar la efectividad de estos con todos los medios a su alcance. Como consecuencia </w:t>
      </w:r>
      <w:r w:rsidR="004A5FB1" w:rsidRPr="000B03C4">
        <w:rPr>
          <w:rFonts w:ascii="Times New Roman" w:hAnsi="Times New Roman" w:cs="Times New Roman"/>
          <w:color w:val="231F20"/>
          <w:szCs w:val="24"/>
        </w:rPr>
        <w:t>23</w:t>
      </w:r>
      <w:r w:rsidRPr="000B03C4">
        <w:rPr>
          <w:rFonts w:ascii="Times New Roman" w:hAnsi="Times New Roman" w:cs="Times New Roman"/>
          <w:color w:val="231F20"/>
          <w:szCs w:val="24"/>
        </w:rPr>
        <w:t xml:space="preserve"> países latinoamericanos se han adherido a la Convención Americana sobre Derechos Humanos firmada en San José de Costa Rica</w:t>
      </w:r>
      <w:r w:rsidR="009F36C6" w:rsidRPr="000B03C4">
        <w:rPr>
          <w:rFonts w:ascii="Times New Roman" w:hAnsi="Times New Roman" w:cs="Times New Roman"/>
          <w:color w:val="231F20"/>
          <w:szCs w:val="24"/>
        </w:rPr>
        <w:t xml:space="preserve">. </w:t>
      </w:r>
    </w:p>
    <w:p w:rsidR="009B6D80" w:rsidRPr="000B03C4" w:rsidRDefault="009B6D80" w:rsidP="009B6D80">
      <w:pPr>
        <w:pStyle w:val="Ttulo1"/>
        <w:rPr>
          <w:rFonts w:ascii="Times New Roman" w:hAnsi="Times New Roman" w:cs="Times New Roman"/>
          <w:sz w:val="24"/>
          <w:szCs w:val="24"/>
        </w:rPr>
      </w:pPr>
      <w:r w:rsidRPr="000B03C4">
        <w:rPr>
          <w:rFonts w:ascii="Times New Roman" w:hAnsi="Times New Roman" w:cs="Times New Roman"/>
          <w:sz w:val="24"/>
          <w:szCs w:val="24"/>
        </w:rPr>
        <w:t>La Corte Interamericana de Derechos Humanos</w:t>
      </w:r>
    </w:p>
    <w:p w:rsidR="009B6D80" w:rsidRPr="000B03C4" w:rsidRDefault="009B6D80" w:rsidP="009B6D80">
      <w:pPr>
        <w:rPr>
          <w:rFonts w:ascii="Times New Roman" w:hAnsi="Times New Roman" w:cs="Times New Roman"/>
          <w:color w:val="231F20"/>
          <w:szCs w:val="24"/>
        </w:rPr>
      </w:pPr>
      <w:r w:rsidRPr="000B03C4">
        <w:rPr>
          <w:rFonts w:ascii="Times New Roman" w:hAnsi="Times New Roman" w:cs="Times New Roman"/>
          <w:color w:val="231F20"/>
          <w:szCs w:val="24"/>
        </w:rPr>
        <w:t>La Corte Interamericana de Derechos Humanos es un tribunal de derechos humanos creado por la “Convención Americana sobre Derechos Humanos” o Pacto de San José de Costa Rica de fecha 1969.  Esta Corte está conformada por siete jueces y juezas que deben ser nacionales de algún país americano, y que son elegidos por los países que han aceptado aquella Convención Americana. No es un tribunal permanente, sesiona dos  tres veces al años durante una o dos semanas y su presupuesto no excede los dos millones de dólares. Resuelve casos de violación de derechos humanos y dicta una sentencia internacional para reclamar la reparación de los daños. Para llevar un caso ante la Corte es preciso haber agotado todas las instancias y recursos legales del país de origen y solo la Comisión Interamericana de Derechos Humanos puede presentar la demanda.</w:t>
      </w:r>
    </w:p>
    <w:p w:rsidR="003A1588" w:rsidRPr="000B03C4" w:rsidRDefault="003A1588" w:rsidP="001753F8">
      <w:pPr>
        <w:rPr>
          <w:rFonts w:ascii="Times New Roman" w:hAnsi="Times New Roman" w:cs="Times New Roman"/>
          <w:color w:val="231F20"/>
          <w:szCs w:val="24"/>
        </w:rPr>
      </w:pPr>
      <w:r w:rsidRPr="000B03C4">
        <w:rPr>
          <w:rFonts w:ascii="Times New Roman" w:hAnsi="Times New Roman" w:cs="Times New Roman"/>
          <w:color w:val="231F20"/>
          <w:szCs w:val="24"/>
        </w:rPr>
        <w:t xml:space="preserve">Con respecto a esta globalización de los derechos humanos razona </w:t>
      </w:r>
      <w:proofErr w:type="spellStart"/>
      <w:r w:rsidRPr="000B03C4">
        <w:rPr>
          <w:rFonts w:ascii="Times New Roman" w:hAnsi="Times New Roman" w:cs="Times New Roman"/>
          <w:color w:val="231F20"/>
          <w:szCs w:val="24"/>
        </w:rPr>
        <w:t>Hitters</w:t>
      </w:r>
      <w:proofErr w:type="spellEnd"/>
      <w:r w:rsidRPr="000B03C4">
        <w:rPr>
          <w:rFonts w:ascii="Times New Roman" w:hAnsi="Times New Roman" w:cs="Times New Roman"/>
          <w:color w:val="231F20"/>
          <w:szCs w:val="24"/>
        </w:rPr>
        <w:t xml:space="preserve">: </w:t>
      </w:r>
    </w:p>
    <w:p w:rsidR="00E378D6" w:rsidRPr="000B03C4" w:rsidRDefault="003A1588" w:rsidP="001753F8">
      <w:pPr>
        <w:rPr>
          <w:rFonts w:ascii="Times New Roman" w:hAnsi="Times New Roman" w:cs="Times New Roman"/>
          <w:i/>
          <w:szCs w:val="24"/>
        </w:rPr>
      </w:pPr>
      <w:r w:rsidRPr="000B03C4">
        <w:rPr>
          <w:rFonts w:ascii="Times New Roman" w:hAnsi="Times New Roman" w:cs="Times New Roman"/>
          <w:i/>
          <w:szCs w:val="24"/>
        </w:rPr>
        <w:t xml:space="preserve">“Se ha configurado así lo que hemos llamado —siguiendo a Cappelletti— la dimensión supranacional del derecho del proceso y de la justicia con la evidente intención de que el respeto de las libertades humanas logre un nivel </w:t>
      </w:r>
      <w:proofErr w:type="spellStart"/>
      <w:r w:rsidRPr="000B03C4">
        <w:rPr>
          <w:rFonts w:ascii="Times New Roman" w:hAnsi="Times New Roman" w:cs="Times New Roman"/>
          <w:i/>
          <w:szCs w:val="24"/>
        </w:rPr>
        <w:t>metanacional</w:t>
      </w:r>
      <w:proofErr w:type="spellEnd"/>
      <w:r w:rsidRPr="000B03C4">
        <w:rPr>
          <w:rFonts w:ascii="Times New Roman" w:hAnsi="Times New Roman" w:cs="Times New Roman"/>
          <w:i/>
          <w:szCs w:val="24"/>
        </w:rPr>
        <w:t xml:space="preserve"> y uniforme (</w:t>
      </w:r>
      <w:proofErr w:type="spellStart"/>
      <w:r w:rsidRPr="000B03C4">
        <w:rPr>
          <w:rFonts w:ascii="Times New Roman" w:hAnsi="Times New Roman" w:cs="Times New Roman"/>
          <w:i/>
          <w:szCs w:val="24"/>
        </w:rPr>
        <w:t>lex</w:t>
      </w:r>
      <w:proofErr w:type="spellEnd"/>
      <w:r w:rsidRPr="000B03C4">
        <w:rPr>
          <w:rFonts w:ascii="Times New Roman" w:hAnsi="Times New Roman" w:cs="Times New Roman"/>
          <w:i/>
          <w:szCs w:val="24"/>
        </w:rPr>
        <w:t xml:space="preserve"> </w:t>
      </w:r>
      <w:proofErr w:type="spellStart"/>
      <w:r w:rsidRPr="000B03C4">
        <w:rPr>
          <w:rFonts w:ascii="Times New Roman" w:hAnsi="Times New Roman" w:cs="Times New Roman"/>
          <w:i/>
          <w:szCs w:val="24"/>
        </w:rPr>
        <w:t>universalis</w:t>
      </w:r>
      <w:proofErr w:type="spellEnd"/>
      <w:r w:rsidRPr="000B03C4">
        <w:rPr>
          <w:rFonts w:ascii="Times New Roman" w:hAnsi="Times New Roman" w:cs="Times New Roman"/>
          <w:i/>
          <w:szCs w:val="24"/>
        </w:rPr>
        <w:t xml:space="preserve">).(…) el clásico control de constitucionalidad realizado dentro de los países —por órganos centralizados (concentrado), o fragmentariamente por cualquiera de los jueces (difuso)— se ha tornado a partir de entonces mucho más fascinante y abarcador, dándole cabida al contralor de convencionalidad. Queremos de esta manera enfatizar el valor que ha adquirido ese derecho sin fronteras; y mostrar la doble influencia que en nuestro ámbito continental tiene la Convención Americana sobre Derechos Humanos al poner en marcha, por un lado un control </w:t>
      </w:r>
      <w:r w:rsidRPr="000B03C4">
        <w:rPr>
          <w:rFonts w:ascii="Times New Roman" w:hAnsi="Times New Roman" w:cs="Times New Roman"/>
          <w:i/>
          <w:szCs w:val="24"/>
        </w:rPr>
        <w:lastRenderedPageBreak/>
        <w:t xml:space="preserve">supranacional (…) al haber implantado un plexo normativo (…) que entra en el torrente </w:t>
      </w:r>
      <w:proofErr w:type="spellStart"/>
      <w:r w:rsidRPr="000B03C4">
        <w:rPr>
          <w:rFonts w:ascii="Times New Roman" w:hAnsi="Times New Roman" w:cs="Times New Roman"/>
          <w:i/>
          <w:szCs w:val="24"/>
        </w:rPr>
        <w:t>jurígeno</w:t>
      </w:r>
      <w:proofErr w:type="spellEnd"/>
      <w:r w:rsidRPr="000B03C4">
        <w:rPr>
          <w:rFonts w:ascii="Times New Roman" w:hAnsi="Times New Roman" w:cs="Times New Roman"/>
          <w:i/>
          <w:szCs w:val="24"/>
        </w:rPr>
        <w:t xml:space="preserve"> local, y se convierte en derecho positivo (…)</w:t>
      </w:r>
    </w:p>
    <w:p w:rsidR="00235BC6" w:rsidRPr="000B03C4" w:rsidRDefault="00235BC6" w:rsidP="00235BC6">
      <w:pPr>
        <w:jc w:val="both"/>
        <w:rPr>
          <w:rFonts w:ascii="Times New Roman" w:hAnsi="Times New Roman" w:cs="Times New Roman"/>
          <w:szCs w:val="24"/>
        </w:rPr>
      </w:pPr>
      <w:r w:rsidRPr="000B03C4">
        <w:rPr>
          <w:rFonts w:ascii="Times New Roman" w:hAnsi="Times New Roman" w:cs="Times New Roman"/>
          <w:szCs w:val="24"/>
        </w:rPr>
        <w:t>Por su parte el artículo 25 de la Convención Americana, que también garantiza el acceso a la justicia dispone lo siguiente:</w:t>
      </w:r>
    </w:p>
    <w:p w:rsidR="00235BC6" w:rsidRPr="000B03C4" w:rsidRDefault="00235BC6" w:rsidP="00235BC6">
      <w:pPr>
        <w:ind w:right="720"/>
        <w:jc w:val="both"/>
        <w:rPr>
          <w:rFonts w:ascii="Times New Roman" w:hAnsi="Times New Roman" w:cs="Times New Roman"/>
          <w:i/>
          <w:color w:val="000000"/>
          <w:szCs w:val="24"/>
        </w:rPr>
      </w:pPr>
      <w:r w:rsidRPr="000B03C4">
        <w:rPr>
          <w:rFonts w:ascii="Times New Roman" w:hAnsi="Times New Roman" w:cs="Times New Roman"/>
          <w:i/>
          <w:color w:val="000000"/>
          <w:szCs w:val="24"/>
        </w:rPr>
        <w:t xml:space="preserve">Los Estados Partes se comprometen: </w:t>
      </w:r>
    </w:p>
    <w:p w:rsidR="00235BC6" w:rsidRPr="000B03C4" w:rsidRDefault="00235BC6" w:rsidP="00235BC6">
      <w:pPr>
        <w:ind w:left="720" w:right="720"/>
        <w:jc w:val="both"/>
        <w:rPr>
          <w:rFonts w:ascii="Times New Roman" w:hAnsi="Times New Roman" w:cs="Times New Roman"/>
          <w:i/>
          <w:color w:val="000000"/>
          <w:szCs w:val="24"/>
        </w:rPr>
      </w:pPr>
      <w:r w:rsidRPr="000B03C4">
        <w:rPr>
          <w:rFonts w:ascii="Times New Roman" w:hAnsi="Times New Roman" w:cs="Times New Roman"/>
          <w:i/>
          <w:color w:val="000000"/>
          <w:szCs w:val="24"/>
        </w:rPr>
        <w:t xml:space="preserve">a) </w:t>
      </w:r>
      <w:r w:rsidRPr="000B03C4">
        <w:rPr>
          <w:rFonts w:ascii="Times New Roman" w:hAnsi="Times New Roman" w:cs="Times New Roman"/>
          <w:i/>
          <w:color w:val="000000"/>
          <w:szCs w:val="24"/>
        </w:rPr>
        <w:tab/>
        <w:t xml:space="preserve">a garantizar que la autoridad competente prevista por el sistema legal del Estado decidirá sobre los derechos de toda persona que interponga tal recurso; </w:t>
      </w:r>
    </w:p>
    <w:p w:rsidR="00235BC6" w:rsidRPr="000B03C4" w:rsidRDefault="00235BC6" w:rsidP="00235BC6">
      <w:pPr>
        <w:ind w:left="720" w:right="720"/>
        <w:jc w:val="both"/>
        <w:rPr>
          <w:rFonts w:ascii="Times New Roman" w:hAnsi="Times New Roman" w:cs="Times New Roman"/>
          <w:i/>
          <w:color w:val="000000"/>
          <w:szCs w:val="24"/>
        </w:rPr>
      </w:pPr>
      <w:r w:rsidRPr="000B03C4">
        <w:rPr>
          <w:rFonts w:ascii="Times New Roman" w:hAnsi="Times New Roman" w:cs="Times New Roman"/>
          <w:i/>
          <w:color w:val="000000"/>
          <w:szCs w:val="24"/>
        </w:rPr>
        <w:t xml:space="preserve">b) </w:t>
      </w:r>
      <w:r w:rsidRPr="000B03C4">
        <w:rPr>
          <w:rFonts w:ascii="Times New Roman" w:hAnsi="Times New Roman" w:cs="Times New Roman"/>
          <w:i/>
          <w:color w:val="000000"/>
          <w:szCs w:val="24"/>
        </w:rPr>
        <w:tab/>
        <w:t xml:space="preserve">a desarrollar las posibilidades de recurso judicial, y </w:t>
      </w:r>
    </w:p>
    <w:p w:rsidR="00235BC6" w:rsidRPr="000B03C4" w:rsidRDefault="00235BC6" w:rsidP="00235BC6">
      <w:pPr>
        <w:ind w:left="720" w:right="720"/>
        <w:jc w:val="both"/>
        <w:rPr>
          <w:rFonts w:ascii="Times New Roman" w:hAnsi="Times New Roman" w:cs="Times New Roman"/>
          <w:i/>
          <w:szCs w:val="24"/>
        </w:rPr>
      </w:pPr>
      <w:r w:rsidRPr="000B03C4">
        <w:rPr>
          <w:rFonts w:ascii="Times New Roman" w:hAnsi="Times New Roman" w:cs="Times New Roman"/>
          <w:i/>
          <w:color w:val="000000"/>
          <w:szCs w:val="24"/>
        </w:rPr>
        <w:t xml:space="preserve">c) </w:t>
      </w:r>
      <w:r w:rsidRPr="000B03C4">
        <w:rPr>
          <w:rFonts w:ascii="Times New Roman" w:hAnsi="Times New Roman" w:cs="Times New Roman"/>
          <w:i/>
          <w:color w:val="000000"/>
          <w:szCs w:val="24"/>
        </w:rPr>
        <w:tab/>
        <w:t>a garantizar el cumplimiento, por las autoridades competentes, de toda decisión en que se haya estimado procedente el recurso.</w:t>
      </w:r>
    </w:p>
    <w:p w:rsidR="00235BC6" w:rsidRPr="000B03C4" w:rsidRDefault="00235BC6" w:rsidP="001753F8">
      <w:pPr>
        <w:rPr>
          <w:rFonts w:ascii="Times New Roman" w:hAnsi="Times New Roman" w:cs="Times New Roman"/>
          <w:i/>
          <w:szCs w:val="24"/>
          <w:vertAlign w:val="superscript"/>
        </w:rPr>
      </w:pPr>
      <w:r w:rsidRPr="000B03C4">
        <w:rPr>
          <w:rFonts w:ascii="Times New Roman" w:hAnsi="Times New Roman" w:cs="Times New Roman"/>
          <w:color w:val="231F20"/>
          <w:szCs w:val="24"/>
        </w:rPr>
        <w:t xml:space="preserve">Con respecto al alcance del órgano de justicia se establece que </w:t>
      </w:r>
      <w:r w:rsidRPr="000B03C4">
        <w:rPr>
          <w:rFonts w:ascii="Times New Roman" w:hAnsi="Times New Roman" w:cs="Times New Roman"/>
          <w:szCs w:val="24"/>
        </w:rPr>
        <w:t xml:space="preserve">una sentencia: </w:t>
      </w:r>
      <w:r w:rsidRPr="000B03C4">
        <w:rPr>
          <w:rFonts w:ascii="Times New Roman" w:hAnsi="Times New Roman" w:cs="Times New Roman"/>
          <w:i/>
          <w:szCs w:val="24"/>
        </w:rPr>
        <w:t xml:space="preserve">“…tiene que ser necesariamente (…), y tiene como uno de sus efectos la obligatoriedad. (…), eventualmente puede discutirse la autoridad de cosa juzgada de una decisión cuando ésta afecta derechos de individuos protegidos por la convención y se demuestra que existe una causal de cuestionamiento de la cosa juzgada”. </w:t>
      </w:r>
      <w:sdt>
        <w:sdtPr>
          <w:rPr>
            <w:rFonts w:ascii="Times New Roman" w:hAnsi="Times New Roman" w:cs="Times New Roman"/>
            <w:i/>
            <w:szCs w:val="24"/>
            <w:vertAlign w:val="superscript"/>
          </w:rPr>
          <w:id w:val="824622882"/>
          <w:citation/>
        </w:sdtPr>
        <w:sdtEndPr/>
        <w:sdtContent>
          <w:r w:rsidRPr="000B03C4">
            <w:rPr>
              <w:rFonts w:ascii="Times New Roman" w:hAnsi="Times New Roman" w:cs="Times New Roman"/>
              <w:i/>
              <w:szCs w:val="24"/>
              <w:vertAlign w:val="superscript"/>
            </w:rPr>
            <w:fldChar w:fldCharType="begin"/>
          </w:r>
          <w:r w:rsidRPr="000B03C4">
            <w:rPr>
              <w:rFonts w:ascii="Times New Roman" w:hAnsi="Times New Roman" w:cs="Times New Roman"/>
              <w:i/>
              <w:szCs w:val="24"/>
              <w:vertAlign w:val="superscript"/>
              <w:lang w:val="es-ES"/>
            </w:rPr>
            <w:instrText xml:space="preserve"> CITATION Cor \l 3082 </w:instrText>
          </w:r>
          <w:r w:rsidRPr="000B03C4">
            <w:rPr>
              <w:rFonts w:ascii="Times New Roman" w:hAnsi="Times New Roman" w:cs="Times New Roman"/>
              <w:i/>
              <w:szCs w:val="24"/>
              <w:vertAlign w:val="superscript"/>
            </w:rPr>
            <w:fldChar w:fldCharType="separate"/>
          </w:r>
          <w:r w:rsidR="00497937" w:rsidRPr="000B03C4">
            <w:rPr>
              <w:rFonts w:ascii="Times New Roman" w:hAnsi="Times New Roman" w:cs="Times New Roman"/>
              <w:noProof/>
              <w:szCs w:val="24"/>
              <w:lang w:val="es-ES"/>
            </w:rPr>
            <w:t>(Corte IDH, Caso de la Masacre de Mapiripán vs. Colombia, Sentencia de 15 de septiembre de 2005., Serie C No. 13, párr. 198; Corte IDH, Caso Palamara Iribarne vs. Chile, Sentencia de 22 de noviembre de 2005, Serie C No. 135, párr. 121.)</w:t>
          </w:r>
          <w:r w:rsidRPr="000B03C4">
            <w:rPr>
              <w:rFonts w:ascii="Times New Roman" w:hAnsi="Times New Roman" w:cs="Times New Roman"/>
              <w:i/>
              <w:szCs w:val="24"/>
              <w:vertAlign w:val="superscript"/>
            </w:rPr>
            <w:fldChar w:fldCharType="end"/>
          </w:r>
        </w:sdtContent>
      </w:sdt>
    </w:p>
    <w:p w:rsidR="009B6D80" w:rsidRPr="000B03C4" w:rsidRDefault="009B6D80" w:rsidP="009B6D80">
      <w:pPr>
        <w:pStyle w:val="Ttulo1"/>
        <w:rPr>
          <w:rFonts w:ascii="Times New Roman" w:hAnsi="Times New Roman" w:cs="Times New Roman"/>
          <w:sz w:val="24"/>
          <w:szCs w:val="24"/>
        </w:rPr>
      </w:pPr>
      <w:r w:rsidRPr="000B03C4">
        <w:rPr>
          <w:rFonts w:ascii="Times New Roman" w:hAnsi="Times New Roman" w:cs="Times New Roman"/>
          <w:sz w:val="24"/>
          <w:szCs w:val="24"/>
        </w:rPr>
        <w:t>El caso de los niños de la calle</w:t>
      </w:r>
    </w:p>
    <w:p w:rsidR="009B6D80" w:rsidRPr="000B03C4" w:rsidRDefault="009B6D80" w:rsidP="009B6D80">
      <w:pPr>
        <w:rPr>
          <w:rFonts w:ascii="Times New Roman" w:hAnsi="Times New Roman" w:cs="Times New Roman"/>
          <w:szCs w:val="24"/>
        </w:rPr>
      </w:pPr>
      <w:r w:rsidRPr="000B03C4">
        <w:rPr>
          <w:rFonts w:ascii="Times New Roman" w:hAnsi="Times New Roman" w:cs="Times New Roman"/>
          <w:szCs w:val="24"/>
        </w:rPr>
        <w:t xml:space="preserve">En el Caso de los Niños de la Calle, los hechos demostrados por la Corte </w:t>
      </w:r>
      <w:proofErr w:type="spellStart"/>
      <w:r w:rsidRPr="000B03C4">
        <w:rPr>
          <w:rFonts w:ascii="Times New Roman" w:hAnsi="Times New Roman" w:cs="Times New Roman"/>
          <w:szCs w:val="24"/>
        </w:rPr>
        <w:t>I</w:t>
      </w:r>
      <w:r w:rsidR="00324322" w:rsidRPr="000B03C4">
        <w:rPr>
          <w:rFonts w:ascii="Times New Roman" w:hAnsi="Times New Roman" w:cs="Times New Roman"/>
          <w:szCs w:val="24"/>
        </w:rPr>
        <w:t>interamericana</w:t>
      </w:r>
      <w:proofErr w:type="spellEnd"/>
      <w:r w:rsidR="00324322" w:rsidRPr="000B03C4">
        <w:rPr>
          <w:rFonts w:ascii="Times New Roman" w:hAnsi="Times New Roman" w:cs="Times New Roman"/>
          <w:szCs w:val="24"/>
        </w:rPr>
        <w:t xml:space="preserve"> de </w:t>
      </w:r>
      <w:r w:rsidRPr="000B03C4">
        <w:rPr>
          <w:rFonts w:ascii="Times New Roman" w:hAnsi="Times New Roman" w:cs="Times New Roman"/>
          <w:szCs w:val="24"/>
        </w:rPr>
        <w:t>D</w:t>
      </w:r>
      <w:r w:rsidR="00324322" w:rsidRPr="000B03C4">
        <w:rPr>
          <w:rFonts w:ascii="Times New Roman" w:hAnsi="Times New Roman" w:cs="Times New Roman"/>
          <w:szCs w:val="24"/>
        </w:rPr>
        <w:t xml:space="preserve">erechos </w:t>
      </w:r>
      <w:r w:rsidRPr="000B03C4">
        <w:rPr>
          <w:rFonts w:ascii="Times New Roman" w:hAnsi="Times New Roman" w:cs="Times New Roman"/>
          <w:szCs w:val="24"/>
        </w:rPr>
        <w:t>H</w:t>
      </w:r>
      <w:r w:rsidR="00324322" w:rsidRPr="000B03C4">
        <w:rPr>
          <w:rFonts w:ascii="Times New Roman" w:hAnsi="Times New Roman" w:cs="Times New Roman"/>
          <w:szCs w:val="24"/>
        </w:rPr>
        <w:t>umanos</w:t>
      </w:r>
      <w:r w:rsidRPr="000B03C4">
        <w:rPr>
          <w:rFonts w:ascii="Times New Roman" w:hAnsi="Times New Roman" w:cs="Times New Roman"/>
          <w:szCs w:val="24"/>
        </w:rPr>
        <w:t>, de manera resumida, fueron los siguientes (</w:t>
      </w:r>
      <w:proofErr w:type="spellStart"/>
      <w:r w:rsidRPr="000B03C4">
        <w:rPr>
          <w:rFonts w:ascii="Times New Roman" w:hAnsi="Times New Roman" w:cs="Times New Roman"/>
          <w:szCs w:val="24"/>
        </w:rPr>
        <w:t>párrs</w:t>
      </w:r>
      <w:proofErr w:type="spellEnd"/>
      <w:r w:rsidRPr="000B03C4">
        <w:rPr>
          <w:rFonts w:ascii="Times New Roman" w:hAnsi="Times New Roman" w:cs="Times New Roman"/>
          <w:szCs w:val="24"/>
        </w:rPr>
        <w:t>. 76-117):</w:t>
      </w:r>
      <w:sdt>
        <w:sdtPr>
          <w:rPr>
            <w:rFonts w:ascii="Times New Roman" w:hAnsi="Times New Roman" w:cs="Times New Roman"/>
            <w:szCs w:val="24"/>
          </w:rPr>
          <w:id w:val="-1937512116"/>
          <w:citation/>
        </w:sdtPr>
        <w:sdtEndPr/>
        <w:sdtContent>
          <w:r w:rsidRPr="000B03C4">
            <w:rPr>
              <w:rFonts w:ascii="Times New Roman" w:hAnsi="Times New Roman" w:cs="Times New Roman"/>
              <w:szCs w:val="24"/>
            </w:rPr>
            <w:fldChar w:fldCharType="begin"/>
          </w:r>
          <w:r w:rsidRPr="000B03C4">
            <w:rPr>
              <w:rFonts w:ascii="Times New Roman" w:hAnsi="Times New Roman" w:cs="Times New Roman"/>
              <w:szCs w:val="24"/>
              <w:lang w:val="es-ES"/>
            </w:rPr>
            <w:instrText xml:space="preserve"> CITATION Rod09 \l 3082 </w:instrText>
          </w:r>
          <w:r w:rsidRPr="000B03C4">
            <w:rPr>
              <w:rFonts w:ascii="Times New Roman" w:hAnsi="Times New Roman" w:cs="Times New Roman"/>
              <w:szCs w:val="24"/>
            </w:rPr>
            <w:fldChar w:fldCharType="separate"/>
          </w:r>
          <w:r w:rsidR="00497937" w:rsidRPr="000B03C4">
            <w:rPr>
              <w:rFonts w:ascii="Times New Roman" w:hAnsi="Times New Roman" w:cs="Times New Roman"/>
              <w:noProof/>
              <w:szCs w:val="24"/>
              <w:lang w:val="es-ES"/>
            </w:rPr>
            <w:t xml:space="preserve"> (Rodríguez Rescia, 2009)</w:t>
          </w:r>
          <w:r w:rsidRPr="000B03C4">
            <w:rPr>
              <w:rFonts w:ascii="Times New Roman" w:hAnsi="Times New Roman" w:cs="Times New Roman"/>
              <w:szCs w:val="24"/>
            </w:rPr>
            <w:fldChar w:fldCharType="end"/>
          </w:r>
        </w:sdtContent>
      </w:sdt>
    </w:p>
    <w:p w:rsidR="009B6D80" w:rsidRPr="000B03C4" w:rsidRDefault="009B6D80" w:rsidP="009B6D80">
      <w:pPr>
        <w:pStyle w:val="Prrafodelista"/>
        <w:numPr>
          <w:ilvl w:val="0"/>
          <w:numId w:val="2"/>
        </w:numPr>
        <w:rPr>
          <w:rFonts w:ascii="Times New Roman" w:hAnsi="Times New Roman" w:cs="Times New Roman"/>
          <w:szCs w:val="24"/>
        </w:rPr>
      </w:pPr>
      <w:r w:rsidRPr="000B03C4">
        <w:rPr>
          <w:rFonts w:ascii="Times New Roman" w:hAnsi="Times New Roman" w:cs="Times New Roman"/>
          <w:szCs w:val="24"/>
        </w:rPr>
        <w:t xml:space="preserve">que en el período en que ocurrieron los hechos, la zona de “Las Casetas” era notoria por tener una alta tasa de delincuencia y criminalidad, y además abrigaba un gran número de “niños de la calle”; </w:t>
      </w:r>
    </w:p>
    <w:p w:rsidR="009B6D80" w:rsidRPr="000B03C4" w:rsidRDefault="009B6D80" w:rsidP="009B6D80">
      <w:pPr>
        <w:pStyle w:val="Prrafodelista"/>
        <w:numPr>
          <w:ilvl w:val="0"/>
          <w:numId w:val="2"/>
        </w:numPr>
        <w:rPr>
          <w:rFonts w:ascii="Times New Roman" w:hAnsi="Times New Roman" w:cs="Times New Roman"/>
          <w:szCs w:val="24"/>
        </w:rPr>
      </w:pPr>
      <w:r w:rsidRPr="000B03C4">
        <w:rPr>
          <w:rFonts w:ascii="Times New Roman" w:hAnsi="Times New Roman" w:cs="Times New Roman"/>
          <w:szCs w:val="24"/>
        </w:rPr>
        <w:t xml:space="preserve">que en la época en que sucedieron los hechos, existía en Guatemala un patrón común de acciones al margen de la ley, perpetradas por agentes de seguridad </w:t>
      </w:r>
      <w:r w:rsidRPr="000B03C4">
        <w:rPr>
          <w:rFonts w:ascii="Times New Roman" w:hAnsi="Times New Roman" w:cs="Times New Roman"/>
          <w:szCs w:val="24"/>
        </w:rPr>
        <w:lastRenderedPageBreak/>
        <w:t xml:space="preserve">estatales, en contra de los “niños de la calle”; esta práctica incluía amenazas, detenciones, tratos crueles, inhumanos y degradantes, y homicidios como medio para contrarrestar la delincuencia y vagancia juvenil; </w:t>
      </w:r>
    </w:p>
    <w:p w:rsidR="009B6D80" w:rsidRPr="000B03C4" w:rsidRDefault="009B6D80" w:rsidP="009B6D80">
      <w:pPr>
        <w:pStyle w:val="Prrafodelista"/>
        <w:numPr>
          <w:ilvl w:val="0"/>
          <w:numId w:val="2"/>
        </w:numPr>
        <w:rPr>
          <w:rFonts w:ascii="Times New Roman" w:hAnsi="Times New Roman" w:cs="Times New Roman"/>
          <w:szCs w:val="24"/>
        </w:rPr>
      </w:pPr>
      <w:r w:rsidRPr="000B03C4">
        <w:rPr>
          <w:rFonts w:ascii="Times New Roman" w:hAnsi="Times New Roman" w:cs="Times New Roman"/>
          <w:szCs w:val="24"/>
        </w:rPr>
        <w:t xml:space="preserve">que en ese contexto, el 15 de junio de 1990 ocurrió el secuestro y homicidio de Henry Giovanni Contreras, Federico Clemente Figueroa </w:t>
      </w:r>
      <w:proofErr w:type="spellStart"/>
      <w:r w:rsidRPr="000B03C4">
        <w:rPr>
          <w:rFonts w:ascii="Times New Roman" w:hAnsi="Times New Roman" w:cs="Times New Roman"/>
          <w:szCs w:val="24"/>
        </w:rPr>
        <w:t>Túnchez</w:t>
      </w:r>
      <w:proofErr w:type="spellEnd"/>
      <w:r w:rsidRPr="000B03C4">
        <w:rPr>
          <w:rFonts w:ascii="Times New Roman" w:hAnsi="Times New Roman" w:cs="Times New Roman"/>
          <w:szCs w:val="24"/>
        </w:rPr>
        <w:t xml:space="preserve">, Julio Roberto </w:t>
      </w:r>
      <w:proofErr w:type="spellStart"/>
      <w:r w:rsidRPr="000B03C4">
        <w:rPr>
          <w:rFonts w:ascii="Times New Roman" w:hAnsi="Times New Roman" w:cs="Times New Roman"/>
          <w:szCs w:val="24"/>
        </w:rPr>
        <w:t>Caal</w:t>
      </w:r>
      <w:proofErr w:type="spellEnd"/>
      <w:r w:rsidRPr="000B03C4">
        <w:rPr>
          <w:rFonts w:ascii="Times New Roman" w:hAnsi="Times New Roman" w:cs="Times New Roman"/>
          <w:szCs w:val="24"/>
        </w:rPr>
        <w:t xml:space="preserve"> Sandoval y </w:t>
      </w:r>
      <w:proofErr w:type="spellStart"/>
      <w:r w:rsidRPr="000B03C4">
        <w:rPr>
          <w:rFonts w:ascii="Times New Roman" w:hAnsi="Times New Roman" w:cs="Times New Roman"/>
          <w:szCs w:val="24"/>
        </w:rPr>
        <w:t>Jovito</w:t>
      </w:r>
      <w:proofErr w:type="spellEnd"/>
      <w:r w:rsidRPr="000B03C4">
        <w:rPr>
          <w:rFonts w:ascii="Times New Roman" w:hAnsi="Times New Roman" w:cs="Times New Roman"/>
          <w:szCs w:val="24"/>
        </w:rPr>
        <w:t xml:space="preserve"> Josué Juárez </w:t>
      </w:r>
      <w:proofErr w:type="spellStart"/>
      <w:r w:rsidRPr="000B03C4">
        <w:rPr>
          <w:rFonts w:ascii="Times New Roman" w:hAnsi="Times New Roman" w:cs="Times New Roman"/>
          <w:szCs w:val="24"/>
        </w:rPr>
        <w:t>Cifuente</w:t>
      </w:r>
      <w:proofErr w:type="spellEnd"/>
      <w:r w:rsidRPr="000B03C4">
        <w:rPr>
          <w:rFonts w:ascii="Times New Roman" w:hAnsi="Times New Roman" w:cs="Times New Roman"/>
          <w:szCs w:val="24"/>
        </w:rPr>
        <w:t xml:space="preserve">; </w:t>
      </w:r>
    </w:p>
    <w:p w:rsidR="009B6D80" w:rsidRPr="000B03C4" w:rsidRDefault="009B6D80" w:rsidP="009B6D80">
      <w:pPr>
        <w:pStyle w:val="Prrafodelista"/>
        <w:numPr>
          <w:ilvl w:val="0"/>
          <w:numId w:val="2"/>
        </w:numPr>
        <w:rPr>
          <w:rFonts w:ascii="Times New Roman" w:hAnsi="Times New Roman" w:cs="Times New Roman"/>
          <w:szCs w:val="24"/>
        </w:rPr>
      </w:pPr>
      <w:r w:rsidRPr="000B03C4">
        <w:rPr>
          <w:rFonts w:ascii="Times New Roman" w:hAnsi="Times New Roman" w:cs="Times New Roman"/>
          <w:szCs w:val="24"/>
        </w:rPr>
        <w:t xml:space="preserve">que los cuerpos de los jóvenes Juárez Cifuentes y Figueroa </w:t>
      </w:r>
      <w:proofErr w:type="spellStart"/>
      <w:r w:rsidRPr="000B03C4">
        <w:rPr>
          <w:rFonts w:ascii="Times New Roman" w:hAnsi="Times New Roman" w:cs="Times New Roman"/>
          <w:szCs w:val="24"/>
        </w:rPr>
        <w:t>Túnchez</w:t>
      </w:r>
      <w:proofErr w:type="spellEnd"/>
      <w:r w:rsidRPr="000B03C4">
        <w:rPr>
          <w:rFonts w:ascii="Times New Roman" w:hAnsi="Times New Roman" w:cs="Times New Roman"/>
          <w:szCs w:val="24"/>
        </w:rPr>
        <w:t xml:space="preserve"> fueron encontrados en los Bosques de San Nicolás el 16 de junio de 1990, y los cadáveres de los jóvenes Contreras y </w:t>
      </w:r>
      <w:proofErr w:type="spellStart"/>
      <w:r w:rsidRPr="000B03C4">
        <w:rPr>
          <w:rFonts w:ascii="Times New Roman" w:hAnsi="Times New Roman" w:cs="Times New Roman"/>
          <w:szCs w:val="24"/>
        </w:rPr>
        <w:t>Caal</w:t>
      </w:r>
      <w:proofErr w:type="spellEnd"/>
      <w:r w:rsidRPr="000B03C4">
        <w:rPr>
          <w:rFonts w:ascii="Times New Roman" w:hAnsi="Times New Roman" w:cs="Times New Roman"/>
          <w:szCs w:val="24"/>
        </w:rPr>
        <w:t xml:space="preserve"> Sandoval fueron descubiertos en el mismo lugar el día siguiente. La causa de la muerte fue oficialmente atribuida, en todos los casos, a lesiones producidas por disparos de armas de fuego en el cráneo; </w:t>
      </w:r>
    </w:p>
    <w:p w:rsidR="009B6D80" w:rsidRPr="000B03C4" w:rsidRDefault="009B6D80" w:rsidP="009B6D80">
      <w:pPr>
        <w:pStyle w:val="Prrafodelista"/>
        <w:numPr>
          <w:ilvl w:val="0"/>
          <w:numId w:val="2"/>
        </w:numPr>
        <w:rPr>
          <w:rFonts w:ascii="Times New Roman" w:hAnsi="Times New Roman" w:cs="Times New Roman"/>
          <w:szCs w:val="24"/>
        </w:rPr>
      </w:pPr>
      <w:r w:rsidRPr="000B03C4">
        <w:rPr>
          <w:rFonts w:ascii="Times New Roman" w:hAnsi="Times New Roman" w:cs="Times New Roman"/>
          <w:szCs w:val="24"/>
        </w:rPr>
        <w:t xml:space="preserve">que Henry Giovanni Contreras, Federico Clemente Figueroa </w:t>
      </w:r>
      <w:proofErr w:type="spellStart"/>
      <w:r w:rsidRPr="000B03C4">
        <w:rPr>
          <w:rFonts w:ascii="Times New Roman" w:hAnsi="Times New Roman" w:cs="Times New Roman"/>
          <w:szCs w:val="24"/>
        </w:rPr>
        <w:t>Túnchez</w:t>
      </w:r>
      <w:proofErr w:type="spellEnd"/>
      <w:r w:rsidRPr="000B03C4">
        <w:rPr>
          <w:rFonts w:ascii="Times New Roman" w:hAnsi="Times New Roman" w:cs="Times New Roman"/>
          <w:szCs w:val="24"/>
        </w:rPr>
        <w:t xml:space="preserve">, </w:t>
      </w:r>
      <w:proofErr w:type="spellStart"/>
      <w:r w:rsidRPr="000B03C4">
        <w:rPr>
          <w:rFonts w:ascii="Times New Roman" w:hAnsi="Times New Roman" w:cs="Times New Roman"/>
          <w:szCs w:val="24"/>
        </w:rPr>
        <w:t>Jovito</w:t>
      </w:r>
      <w:proofErr w:type="spellEnd"/>
      <w:r w:rsidRPr="000B03C4">
        <w:rPr>
          <w:rFonts w:ascii="Times New Roman" w:hAnsi="Times New Roman" w:cs="Times New Roman"/>
          <w:szCs w:val="24"/>
        </w:rPr>
        <w:t xml:space="preserve"> Josué Juárez Cifuentes y Julio Roberto </w:t>
      </w:r>
      <w:proofErr w:type="spellStart"/>
      <w:r w:rsidRPr="000B03C4">
        <w:rPr>
          <w:rFonts w:ascii="Times New Roman" w:hAnsi="Times New Roman" w:cs="Times New Roman"/>
          <w:szCs w:val="24"/>
        </w:rPr>
        <w:t>Caal</w:t>
      </w:r>
      <w:proofErr w:type="spellEnd"/>
      <w:r w:rsidRPr="000B03C4">
        <w:rPr>
          <w:rFonts w:ascii="Times New Roman" w:hAnsi="Times New Roman" w:cs="Times New Roman"/>
          <w:szCs w:val="24"/>
        </w:rPr>
        <w:t xml:space="preserve"> Sandoval fueron retenidos y torturados, mientras que el 25 de junio de 1990 fue muerto </w:t>
      </w:r>
      <w:proofErr w:type="spellStart"/>
      <w:r w:rsidRPr="000B03C4">
        <w:rPr>
          <w:rFonts w:ascii="Times New Roman" w:hAnsi="Times New Roman" w:cs="Times New Roman"/>
          <w:szCs w:val="24"/>
        </w:rPr>
        <w:t>Anstraum</w:t>
      </w:r>
      <w:proofErr w:type="spellEnd"/>
      <w:r w:rsidRPr="000B03C4">
        <w:rPr>
          <w:rFonts w:ascii="Times New Roman" w:hAnsi="Times New Roman" w:cs="Times New Roman"/>
          <w:szCs w:val="24"/>
        </w:rPr>
        <w:t xml:space="preserve"> Aman Villagrán Morales, mediante un disparo de arma de fuego, en el sector de “Las Casetas”.</w:t>
      </w:r>
    </w:p>
    <w:p w:rsidR="009B6D80" w:rsidRPr="000B03C4" w:rsidRDefault="009B6D80" w:rsidP="009B6D80">
      <w:pPr>
        <w:rPr>
          <w:rFonts w:ascii="Times New Roman" w:hAnsi="Times New Roman" w:cs="Times New Roman"/>
          <w:i/>
          <w:szCs w:val="24"/>
        </w:rPr>
      </w:pPr>
      <w:r w:rsidRPr="000B03C4">
        <w:rPr>
          <w:rFonts w:ascii="Times New Roman" w:hAnsi="Times New Roman" w:cs="Times New Roman"/>
          <w:szCs w:val="24"/>
        </w:rPr>
        <w:t xml:space="preserve">En las Corte Interamericana de Justicia  se contempla el principio </w:t>
      </w:r>
      <w:proofErr w:type="spellStart"/>
      <w:r w:rsidRPr="000B03C4">
        <w:rPr>
          <w:rFonts w:ascii="Times New Roman" w:hAnsi="Times New Roman" w:cs="Times New Roman"/>
          <w:i/>
          <w:szCs w:val="24"/>
        </w:rPr>
        <w:t>iura</w:t>
      </w:r>
      <w:proofErr w:type="spellEnd"/>
      <w:r w:rsidRPr="000B03C4">
        <w:rPr>
          <w:rFonts w:ascii="Times New Roman" w:hAnsi="Times New Roman" w:cs="Times New Roman"/>
          <w:i/>
          <w:szCs w:val="24"/>
        </w:rPr>
        <w:t xml:space="preserve"> </w:t>
      </w:r>
      <w:proofErr w:type="spellStart"/>
      <w:r w:rsidRPr="000B03C4">
        <w:rPr>
          <w:rFonts w:ascii="Times New Roman" w:hAnsi="Times New Roman" w:cs="Times New Roman"/>
          <w:i/>
          <w:szCs w:val="24"/>
        </w:rPr>
        <w:t>novit</w:t>
      </w:r>
      <w:proofErr w:type="spellEnd"/>
      <w:r w:rsidRPr="000B03C4">
        <w:rPr>
          <w:rFonts w:ascii="Times New Roman" w:hAnsi="Times New Roman" w:cs="Times New Roman"/>
          <w:i/>
          <w:szCs w:val="24"/>
        </w:rPr>
        <w:t xml:space="preserve"> </w:t>
      </w:r>
      <w:proofErr w:type="spellStart"/>
      <w:r w:rsidRPr="000B03C4">
        <w:rPr>
          <w:rFonts w:ascii="Times New Roman" w:hAnsi="Times New Roman" w:cs="Times New Roman"/>
          <w:i/>
          <w:szCs w:val="24"/>
        </w:rPr>
        <w:t>curiae.</w:t>
      </w:r>
      <w:r w:rsidRPr="000B03C4">
        <w:rPr>
          <w:rFonts w:ascii="Times New Roman" w:hAnsi="Times New Roman" w:cs="Times New Roman"/>
          <w:szCs w:val="24"/>
        </w:rPr>
        <w:t>por</w:t>
      </w:r>
      <w:proofErr w:type="spellEnd"/>
      <w:r w:rsidRPr="000B03C4">
        <w:rPr>
          <w:rFonts w:ascii="Times New Roman" w:hAnsi="Times New Roman" w:cs="Times New Roman"/>
          <w:szCs w:val="24"/>
        </w:rPr>
        <w:t xml:space="preserve"> lo que, en base a estos hecho la Corte puede identificar violaciones de los Derechos Humanos que no aparecen originalmente en la demanda basada en el principio </w:t>
      </w:r>
      <w:r w:rsidRPr="000B03C4">
        <w:rPr>
          <w:rFonts w:ascii="Times New Roman" w:hAnsi="Times New Roman" w:cs="Times New Roman"/>
          <w:i/>
          <w:szCs w:val="24"/>
        </w:rPr>
        <w:t>pro homine.</w:t>
      </w:r>
    </w:p>
    <w:p w:rsidR="009B6D80" w:rsidRPr="000B03C4" w:rsidRDefault="009B6D80" w:rsidP="009B6D80">
      <w:pPr>
        <w:rPr>
          <w:rFonts w:ascii="Times New Roman" w:hAnsi="Times New Roman" w:cs="Times New Roman"/>
          <w:szCs w:val="24"/>
        </w:rPr>
      </w:pPr>
      <w:r w:rsidRPr="000B03C4">
        <w:rPr>
          <w:rFonts w:ascii="Times New Roman" w:hAnsi="Times New Roman" w:cs="Times New Roman"/>
          <w:szCs w:val="24"/>
        </w:rPr>
        <w:t>Teniendo en cuenta estos elementos la Corte consideró que se habían violado el derecho a la libertad personal, el derecho a la vida, los derechos del niño, el  derecho a la Integridad Personal y, en este apartado, la Corte Interamericana amplió su jurisprudencia sobre la tortura que también sufren los ascendientes de hijos desaparecidos y torturados como víctimas directas.</w:t>
      </w:r>
    </w:p>
    <w:p w:rsidR="009B6D80" w:rsidRPr="000B03C4" w:rsidRDefault="009B6D80" w:rsidP="009B6D80">
      <w:pPr>
        <w:rPr>
          <w:rFonts w:ascii="Times New Roman" w:hAnsi="Times New Roman" w:cs="Times New Roman"/>
          <w:szCs w:val="24"/>
        </w:rPr>
      </w:pPr>
      <w:r w:rsidRPr="000B03C4">
        <w:rPr>
          <w:rFonts w:ascii="Times New Roman" w:hAnsi="Times New Roman" w:cs="Times New Roman"/>
          <w:szCs w:val="24"/>
        </w:rPr>
        <w:t>Este caso constituye un hito en el trabajo de la Corte Interamericana de Justicia por cuanto esta incluyó derechos que no están comprendidos en el cuerpo argumental de la Convención Americana de Derechos Humanos y les asignó carácter de obligatoriedad; incluyendo en el fallo las víctimas que no se previeron en la demanda original.</w:t>
      </w:r>
    </w:p>
    <w:p w:rsidR="009B6D80" w:rsidRPr="000B03C4" w:rsidRDefault="009B6D80" w:rsidP="009B6D80">
      <w:pPr>
        <w:rPr>
          <w:rFonts w:ascii="Times New Roman" w:hAnsi="Times New Roman" w:cs="Times New Roman"/>
          <w:szCs w:val="24"/>
        </w:rPr>
      </w:pPr>
      <w:r w:rsidRPr="000B03C4">
        <w:rPr>
          <w:rFonts w:ascii="Times New Roman" w:hAnsi="Times New Roman" w:cs="Times New Roman"/>
          <w:szCs w:val="24"/>
        </w:rPr>
        <w:lastRenderedPageBreak/>
        <w:t xml:space="preserve">En México tuvieron lugar los hechos del caso Padilla Pacheco desaparecido físicamente después de ser detenido por miembros del Ejército de México, mientras viajaba en el bus con su hijo. En este caso se interpuso el recurso de incompetencia </w:t>
      </w:r>
      <w:proofErr w:type="spellStart"/>
      <w:r w:rsidRPr="000B03C4">
        <w:rPr>
          <w:rFonts w:ascii="Times New Roman" w:hAnsi="Times New Roman" w:cs="Times New Roman"/>
          <w:i/>
          <w:szCs w:val="24"/>
        </w:rPr>
        <w:t>ratione</w:t>
      </w:r>
      <w:proofErr w:type="spellEnd"/>
      <w:r w:rsidRPr="000B03C4">
        <w:rPr>
          <w:rFonts w:ascii="Times New Roman" w:hAnsi="Times New Roman" w:cs="Times New Roman"/>
          <w:i/>
          <w:szCs w:val="24"/>
        </w:rPr>
        <w:t xml:space="preserve"> </w:t>
      </w:r>
      <w:proofErr w:type="spellStart"/>
      <w:r w:rsidRPr="000B03C4">
        <w:rPr>
          <w:rFonts w:ascii="Times New Roman" w:hAnsi="Times New Roman" w:cs="Times New Roman"/>
          <w:i/>
          <w:szCs w:val="24"/>
        </w:rPr>
        <w:t>temporis</w:t>
      </w:r>
      <w:proofErr w:type="spellEnd"/>
      <w:r w:rsidRPr="000B03C4">
        <w:rPr>
          <w:rFonts w:ascii="Times New Roman" w:hAnsi="Times New Roman" w:cs="Times New Roman"/>
          <w:szCs w:val="24"/>
        </w:rPr>
        <w:t xml:space="preserve"> para juzgar el caso y el Estado realizó un reconocimiento parcial de responsabilidad internacional aceptado por la Corte.</w:t>
      </w:r>
      <w:r w:rsidR="004A5FB1" w:rsidRPr="000B03C4">
        <w:rPr>
          <w:rFonts w:ascii="Times New Roman" w:hAnsi="Times New Roman" w:cs="Times New Roman"/>
          <w:szCs w:val="24"/>
        </w:rPr>
        <w:t xml:space="preserve"> En este caso se evidenciaron tres tendencias i) la de los ministros que opinaban que las sentencias y la jurisprudencia internacional no obligaban a la Suprema Corte; ii) la que sí reconocía su fuerza vinculante para el caso concreto en el que estuviera involucrado el Estado pero sin extender esa obligatoriedad a la totalidad de la jurisprudencia de la Corte, y iii) la postura de avanzada que proponía la obligatoriedad tanto de la sentencia particular como de la jurisprudencia de la Corte Interamericana.</w:t>
      </w:r>
    </w:p>
    <w:p w:rsidR="009B6D80" w:rsidRPr="000B03C4" w:rsidRDefault="009B6D80" w:rsidP="009B6D80">
      <w:pPr>
        <w:rPr>
          <w:rFonts w:ascii="Times New Roman" w:hAnsi="Times New Roman" w:cs="Times New Roman"/>
          <w:szCs w:val="24"/>
        </w:rPr>
      </w:pPr>
      <w:r w:rsidRPr="000B03C4">
        <w:rPr>
          <w:rFonts w:ascii="Times New Roman" w:hAnsi="Times New Roman" w:cs="Times New Roman"/>
          <w:szCs w:val="24"/>
        </w:rPr>
        <w:t>En casos como este la mera razón indica la obligatoriedad del cumplimiento de la sentencia pues impresiona justa desde todo punto de vista y no ha</w:t>
      </w:r>
      <w:r w:rsidR="00324322" w:rsidRPr="000B03C4">
        <w:rPr>
          <w:rFonts w:ascii="Times New Roman" w:hAnsi="Times New Roman" w:cs="Times New Roman"/>
          <w:szCs w:val="24"/>
        </w:rPr>
        <w:t>y</w:t>
      </w:r>
      <w:r w:rsidRPr="000B03C4">
        <w:rPr>
          <w:rFonts w:ascii="Times New Roman" w:hAnsi="Times New Roman" w:cs="Times New Roman"/>
          <w:szCs w:val="24"/>
        </w:rPr>
        <w:t xml:space="preserve"> conflicto entre dos derechos humanos. Otros casos sentenciados en la Corte Interamericana de Derechos Humanos  no son tan obvios.</w:t>
      </w:r>
    </w:p>
    <w:p w:rsidR="009B6D80" w:rsidRPr="000B03C4" w:rsidRDefault="009B6D80" w:rsidP="009B6D80">
      <w:pPr>
        <w:pStyle w:val="Ttulo1"/>
        <w:rPr>
          <w:rFonts w:ascii="Times New Roman" w:hAnsi="Times New Roman" w:cs="Times New Roman"/>
          <w:sz w:val="24"/>
          <w:szCs w:val="24"/>
        </w:rPr>
      </w:pPr>
      <w:r w:rsidRPr="000B03C4">
        <w:rPr>
          <w:rFonts w:ascii="Times New Roman" w:hAnsi="Times New Roman" w:cs="Times New Roman"/>
          <w:sz w:val="24"/>
          <w:szCs w:val="24"/>
        </w:rPr>
        <w:t xml:space="preserve">Caso </w:t>
      </w:r>
      <w:proofErr w:type="spellStart"/>
      <w:r w:rsidRPr="000B03C4">
        <w:rPr>
          <w:rFonts w:ascii="Times New Roman" w:hAnsi="Times New Roman" w:cs="Times New Roman"/>
          <w:sz w:val="24"/>
          <w:szCs w:val="24"/>
        </w:rPr>
        <w:t>Fontevecchia</w:t>
      </w:r>
      <w:proofErr w:type="spellEnd"/>
      <w:r w:rsidRPr="000B03C4">
        <w:rPr>
          <w:rFonts w:ascii="Times New Roman" w:hAnsi="Times New Roman" w:cs="Times New Roman"/>
          <w:sz w:val="24"/>
          <w:szCs w:val="24"/>
        </w:rPr>
        <w:t xml:space="preserve"> y </w:t>
      </w:r>
      <w:proofErr w:type="spellStart"/>
      <w:r w:rsidRPr="000B03C4">
        <w:rPr>
          <w:rFonts w:ascii="Times New Roman" w:hAnsi="Times New Roman" w:cs="Times New Roman"/>
          <w:sz w:val="24"/>
          <w:szCs w:val="24"/>
        </w:rPr>
        <w:t>D´Amico</w:t>
      </w:r>
      <w:proofErr w:type="spellEnd"/>
    </w:p>
    <w:p w:rsidR="009B6D80" w:rsidRPr="000B03C4" w:rsidRDefault="009B6D80" w:rsidP="009B6D80">
      <w:pPr>
        <w:rPr>
          <w:rFonts w:ascii="Times New Roman" w:hAnsi="Times New Roman" w:cs="Times New Roman"/>
          <w:i/>
          <w:szCs w:val="24"/>
          <w:vertAlign w:val="superscript"/>
        </w:rPr>
      </w:pPr>
      <w:r w:rsidRPr="000B03C4">
        <w:rPr>
          <w:rFonts w:ascii="Times New Roman" w:hAnsi="Times New Roman" w:cs="Times New Roman"/>
          <w:i/>
          <w:szCs w:val="24"/>
        </w:rPr>
        <w:t xml:space="preserve">El caso se relaciona con la alegada violación del derecho a la libertad de expresión de los señores Jorge </w:t>
      </w:r>
      <w:proofErr w:type="spellStart"/>
      <w:r w:rsidRPr="000B03C4">
        <w:rPr>
          <w:rFonts w:ascii="Times New Roman" w:hAnsi="Times New Roman" w:cs="Times New Roman"/>
          <w:i/>
          <w:szCs w:val="24"/>
        </w:rPr>
        <w:t>Fontevecchia</w:t>
      </w:r>
      <w:proofErr w:type="spellEnd"/>
      <w:r w:rsidRPr="000B03C4">
        <w:rPr>
          <w:rFonts w:ascii="Times New Roman" w:hAnsi="Times New Roman" w:cs="Times New Roman"/>
          <w:i/>
          <w:szCs w:val="24"/>
        </w:rPr>
        <w:t xml:space="preserve"> y Héctor </w:t>
      </w:r>
      <w:proofErr w:type="spellStart"/>
      <w:r w:rsidRPr="000B03C4">
        <w:rPr>
          <w:rFonts w:ascii="Times New Roman" w:hAnsi="Times New Roman" w:cs="Times New Roman"/>
          <w:i/>
          <w:szCs w:val="24"/>
        </w:rPr>
        <w:t>D’Amico</w:t>
      </w:r>
      <w:proofErr w:type="spellEnd"/>
      <w:r w:rsidRPr="000B03C4">
        <w:rPr>
          <w:rFonts w:ascii="Times New Roman" w:hAnsi="Times New Roman" w:cs="Times New Roman"/>
          <w:i/>
          <w:szCs w:val="24"/>
        </w:rPr>
        <w:t>, quienes eran director y editor, respectivamente, de la revista Noticias. La supuesta violación se habría producido en virtud de la condena civil que les fue impuesta mediante sentencias dictadas por tribunales argentinos como responsabilidad ulterior por la publicación de dos artículos, en noviembre de 1995, en la mencionada revista. Dichas publicaciones se referían a la existencia de un hijo no reconocido del señor Carlos Saúl Menem, entonces Presidente de la Nación, con una diputada, a la relación entre el ex presidente y la diputada y a la relación entre el primer mandatario y su hijo. Tanto un tribunal de segunda instancia como la Corte Suprema de Justicia de la Nación consideraron que se había violado el derecho a la vida privada del señor Menem como consecuencia de aquellas publicaciones.</w:t>
      </w:r>
      <w:sdt>
        <w:sdtPr>
          <w:rPr>
            <w:rFonts w:ascii="Times New Roman" w:hAnsi="Times New Roman" w:cs="Times New Roman"/>
            <w:i/>
            <w:szCs w:val="24"/>
          </w:rPr>
          <w:id w:val="1489524955"/>
          <w:citation/>
        </w:sdtPr>
        <w:sdtEndPr>
          <w:rPr>
            <w:vertAlign w:val="superscript"/>
          </w:rPr>
        </w:sdtEndPr>
        <w:sdtContent>
          <w:r w:rsidRPr="000B03C4">
            <w:rPr>
              <w:rFonts w:ascii="Times New Roman" w:hAnsi="Times New Roman" w:cs="Times New Roman"/>
              <w:i/>
              <w:szCs w:val="24"/>
              <w:vertAlign w:val="superscript"/>
            </w:rPr>
            <w:fldChar w:fldCharType="begin"/>
          </w:r>
          <w:r w:rsidR="00497937" w:rsidRPr="000B03C4">
            <w:rPr>
              <w:rFonts w:ascii="Times New Roman" w:hAnsi="Times New Roman" w:cs="Times New Roman"/>
              <w:i/>
              <w:szCs w:val="24"/>
              <w:vertAlign w:val="superscript"/>
              <w:lang w:val="es-ES"/>
            </w:rPr>
            <w:instrText xml:space="preserve">CITATION COR \l 3082 </w:instrText>
          </w:r>
          <w:r w:rsidRPr="000B03C4">
            <w:rPr>
              <w:rFonts w:ascii="Times New Roman" w:hAnsi="Times New Roman" w:cs="Times New Roman"/>
              <w:i/>
              <w:szCs w:val="24"/>
              <w:vertAlign w:val="superscript"/>
            </w:rPr>
            <w:fldChar w:fldCharType="separate"/>
          </w:r>
          <w:r w:rsidR="00497937" w:rsidRPr="000B03C4">
            <w:rPr>
              <w:rFonts w:ascii="Times New Roman" w:hAnsi="Times New Roman" w:cs="Times New Roman"/>
              <w:i/>
              <w:noProof/>
              <w:szCs w:val="24"/>
              <w:vertAlign w:val="superscript"/>
              <w:lang w:val="es-ES"/>
            </w:rPr>
            <w:t xml:space="preserve"> </w:t>
          </w:r>
          <w:r w:rsidR="00497937" w:rsidRPr="000B03C4">
            <w:rPr>
              <w:rFonts w:ascii="Times New Roman" w:hAnsi="Times New Roman" w:cs="Times New Roman"/>
              <w:noProof/>
              <w:szCs w:val="24"/>
              <w:lang w:val="es-ES"/>
            </w:rPr>
            <w:t>(Corte Interamericana de Derechos Humanos. Caso Fontevecchia Y D’Amico vs. Argentina. Sentencia de 29 de noviembre de 2011)</w:t>
          </w:r>
          <w:r w:rsidRPr="000B03C4">
            <w:rPr>
              <w:rFonts w:ascii="Times New Roman" w:hAnsi="Times New Roman" w:cs="Times New Roman"/>
              <w:i/>
              <w:szCs w:val="24"/>
              <w:vertAlign w:val="superscript"/>
            </w:rPr>
            <w:fldChar w:fldCharType="end"/>
          </w:r>
        </w:sdtContent>
      </w:sdt>
    </w:p>
    <w:p w:rsidR="009B6D80" w:rsidRPr="000B03C4" w:rsidRDefault="009B6D80" w:rsidP="009B6D80">
      <w:pPr>
        <w:rPr>
          <w:rFonts w:ascii="Times New Roman" w:hAnsi="Times New Roman" w:cs="Times New Roman"/>
          <w:szCs w:val="24"/>
        </w:rPr>
      </w:pPr>
      <w:r w:rsidRPr="000B03C4">
        <w:rPr>
          <w:rFonts w:ascii="Times New Roman" w:hAnsi="Times New Roman" w:cs="Times New Roman"/>
          <w:szCs w:val="24"/>
        </w:rPr>
        <w:lastRenderedPageBreak/>
        <w:t>En este caso se consideró fuera de lugar la sentencia de la Corte Suprema por cuanto la existencia del hijo no reconocido se había publicado previamente en otros periódicos y tabloides, el señor Menem había sido fotografiado con su supuesto hijo en la casa de gobierno, el reportaje se hizo en el marco de una investigación por desviación de fondos estatales por parte del señor Menem y, por último, la aceptación de la condición de Presidente conlleva la aceptación del escrutinio público en mayor medida que cualquier otro individuo. Por estas razones se desechó el cargo de violación del derecho de intimidad que había establecido el señor Menem.</w:t>
      </w:r>
    </w:p>
    <w:p w:rsidR="00594F18" w:rsidRPr="000B03C4" w:rsidRDefault="009B6D80" w:rsidP="009B6D80">
      <w:pPr>
        <w:rPr>
          <w:rFonts w:ascii="Times New Roman" w:hAnsi="Times New Roman" w:cs="Times New Roman"/>
          <w:szCs w:val="24"/>
        </w:rPr>
      </w:pPr>
      <w:r w:rsidRPr="000B03C4">
        <w:rPr>
          <w:rFonts w:ascii="Times New Roman" w:hAnsi="Times New Roman" w:cs="Times New Roman"/>
          <w:szCs w:val="24"/>
        </w:rPr>
        <w:t xml:space="preserve">Aun cuando lo que nos ocupa es la jurisdicción de las Cortes Internacionales, vale la pena hacer un alto en el análisis del caso. Entre dos ciudadanos de menor rango solo se trataría de un juicio de valor, o sea, evaluar cuál de los derechos prima, el derecho a la libre expresión o el derecho a la privacidad. Pero este no es el caso dado que uno de los individuos involucrados era el Presidente. En otros escenarios se ha valorado el papel de la figura del </w:t>
      </w:r>
      <w:r w:rsidR="00202D32" w:rsidRPr="000B03C4">
        <w:rPr>
          <w:rFonts w:ascii="Times New Roman" w:hAnsi="Times New Roman" w:cs="Times New Roman"/>
          <w:szCs w:val="24"/>
        </w:rPr>
        <w:t>Pr</w:t>
      </w:r>
      <w:r w:rsidR="00324322" w:rsidRPr="000B03C4">
        <w:rPr>
          <w:rFonts w:ascii="Times New Roman" w:hAnsi="Times New Roman" w:cs="Times New Roman"/>
          <w:szCs w:val="24"/>
        </w:rPr>
        <w:t>esidente</w:t>
      </w:r>
      <w:r w:rsidRPr="000B03C4">
        <w:rPr>
          <w:rFonts w:ascii="Times New Roman" w:hAnsi="Times New Roman" w:cs="Times New Roman"/>
          <w:szCs w:val="24"/>
        </w:rPr>
        <w:t xml:space="preserve"> </w:t>
      </w:r>
      <w:r w:rsidR="00324322" w:rsidRPr="000B03C4">
        <w:rPr>
          <w:rFonts w:ascii="Times New Roman" w:hAnsi="Times New Roman" w:cs="Times New Roman"/>
          <w:szCs w:val="24"/>
        </w:rPr>
        <w:t xml:space="preserve">de la Nación </w:t>
      </w:r>
      <w:r w:rsidRPr="000B03C4">
        <w:rPr>
          <w:rFonts w:ascii="Times New Roman" w:hAnsi="Times New Roman" w:cs="Times New Roman"/>
          <w:szCs w:val="24"/>
        </w:rPr>
        <w:t>con respecto</w:t>
      </w:r>
      <w:r w:rsidR="00324322" w:rsidRPr="000B03C4">
        <w:rPr>
          <w:rFonts w:ascii="Times New Roman" w:hAnsi="Times New Roman" w:cs="Times New Roman"/>
          <w:szCs w:val="24"/>
        </w:rPr>
        <w:t xml:space="preserve"> a la Ley ya que lidera el Estado responsable del cumplimiento de la misma y, constitucionalmente, tiene derecho a evaluar su aplicación en casos de interés nacional</w:t>
      </w:r>
      <w:r w:rsidR="00202D32" w:rsidRPr="000B03C4">
        <w:rPr>
          <w:rFonts w:ascii="Times New Roman" w:hAnsi="Times New Roman" w:cs="Times New Roman"/>
          <w:szCs w:val="24"/>
        </w:rPr>
        <w:t>, d</w:t>
      </w:r>
      <w:r w:rsidR="00324322" w:rsidRPr="000B03C4">
        <w:rPr>
          <w:rFonts w:ascii="Times New Roman" w:hAnsi="Times New Roman" w:cs="Times New Roman"/>
          <w:szCs w:val="24"/>
        </w:rPr>
        <w:t xml:space="preserve">e ahí que trascienda </w:t>
      </w:r>
      <w:r w:rsidR="00202D32" w:rsidRPr="000B03C4">
        <w:rPr>
          <w:rFonts w:ascii="Times New Roman" w:hAnsi="Times New Roman" w:cs="Times New Roman"/>
          <w:szCs w:val="24"/>
        </w:rPr>
        <w:t xml:space="preserve">este caso a la Corte Interamericana. </w:t>
      </w:r>
    </w:p>
    <w:p w:rsidR="00202D32" w:rsidRPr="000B03C4" w:rsidRDefault="00202D32" w:rsidP="009B6D80">
      <w:pPr>
        <w:rPr>
          <w:rFonts w:ascii="Times New Roman" w:hAnsi="Times New Roman" w:cs="Times New Roman"/>
          <w:szCs w:val="24"/>
        </w:rPr>
      </w:pPr>
      <w:r w:rsidRPr="000B03C4">
        <w:rPr>
          <w:rFonts w:ascii="Times New Roman" w:hAnsi="Times New Roman" w:cs="Times New Roman"/>
          <w:szCs w:val="24"/>
        </w:rPr>
        <w:t>Una vez concluido el proceso la sentencia adquiere carácter de obligatoriedad y deroga la sentencia del Tribunal Supremo, ya que es uno de los compromisos que adquiere el Estado al adscribirse a la Convención Interamericana de Derechos Humanos. El carácter vinculante de la integración a la misma genera una obligación, esta debió haberse tenido en cuenta antes de aceptar formar parte de la Convención y no a posteriori por inconformidad con la sentencia en cuestión.</w:t>
      </w:r>
    </w:p>
    <w:p w:rsidR="0016272C" w:rsidRPr="000B03C4" w:rsidRDefault="00497937" w:rsidP="00497937">
      <w:pPr>
        <w:pStyle w:val="Ttulo1"/>
        <w:rPr>
          <w:rFonts w:ascii="Times New Roman" w:hAnsi="Times New Roman" w:cs="Times New Roman"/>
          <w:sz w:val="24"/>
          <w:szCs w:val="24"/>
        </w:rPr>
      </w:pPr>
      <w:r w:rsidRPr="000B03C4">
        <w:rPr>
          <w:rFonts w:ascii="Times New Roman" w:hAnsi="Times New Roman" w:cs="Times New Roman"/>
          <w:sz w:val="24"/>
          <w:szCs w:val="24"/>
        </w:rPr>
        <w:t>Jurisdicción de la Corte Interamericana de Derechos Humanos</w:t>
      </w:r>
    </w:p>
    <w:p w:rsidR="00497937" w:rsidRPr="000B03C4" w:rsidRDefault="00497937" w:rsidP="00497937">
      <w:pPr>
        <w:rPr>
          <w:rFonts w:ascii="Times New Roman" w:hAnsi="Times New Roman" w:cs="Times New Roman"/>
          <w:szCs w:val="24"/>
        </w:rPr>
      </w:pPr>
      <w:r w:rsidRPr="000B03C4">
        <w:rPr>
          <w:rFonts w:ascii="Times New Roman" w:hAnsi="Times New Roman" w:cs="Times New Roman"/>
          <w:szCs w:val="24"/>
        </w:rPr>
        <w:t xml:space="preserve">En relación con su naturaleza jurídica, la Corte Interamericana de Derechos Humanos es un órgano jurisdiccional internacional instituido en el artículo 33 de la Convención Americana, la cual conoce de un asunto únicamente cuando el Estado demandado haya formulado una declaración unilateral de reconocimiento de su jurisdicción, ya sea de tipo general o para el caso concreto (art. 62 de la Convención). </w:t>
      </w:r>
      <w:sdt>
        <w:sdtPr>
          <w:rPr>
            <w:rFonts w:ascii="Times New Roman" w:hAnsi="Times New Roman" w:cs="Times New Roman"/>
            <w:szCs w:val="24"/>
          </w:rPr>
          <w:id w:val="1065991249"/>
          <w:citation/>
        </w:sdtPr>
        <w:sdtEndPr/>
        <w:sdtContent>
          <w:r w:rsidRPr="000B03C4">
            <w:rPr>
              <w:rFonts w:ascii="Times New Roman" w:hAnsi="Times New Roman" w:cs="Times New Roman"/>
              <w:szCs w:val="24"/>
            </w:rPr>
            <w:fldChar w:fldCharType="begin"/>
          </w:r>
          <w:r w:rsidRPr="000B03C4">
            <w:rPr>
              <w:rFonts w:ascii="Times New Roman" w:hAnsi="Times New Roman" w:cs="Times New Roman"/>
              <w:szCs w:val="24"/>
            </w:rPr>
            <w:instrText xml:space="preserve"> CITATION Rod09 \l 12298 </w:instrText>
          </w:r>
          <w:r w:rsidRPr="000B03C4">
            <w:rPr>
              <w:rFonts w:ascii="Times New Roman" w:hAnsi="Times New Roman" w:cs="Times New Roman"/>
              <w:szCs w:val="24"/>
            </w:rPr>
            <w:fldChar w:fldCharType="separate"/>
          </w:r>
          <w:r w:rsidRPr="000B03C4">
            <w:rPr>
              <w:rFonts w:ascii="Times New Roman" w:hAnsi="Times New Roman" w:cs="Times New Roman"/>
              <w:noProof/>
              <w:szCs w:val="24"/>
            </w:rPr>
            <w:t>(Rodríguez Rescia, 2009)</w:t>
          </w:r>
          <w:r w:rsidRPr="000B03C4">
            <w:rPr>
              <w:rFonts w:ascii="Times New Roman" w:hAnsi="Times New Roman" w:cs="Times New Roman"/>
              <w:szCs w:val="24"/>
            </w:rPr>
            <w:fldChar w:fldCharType="end"/>
          </w:r>
        </w:sdtContent>
      </w:sdt>
    </w:p>
    <w:p w:rsidR="00FD0799" w:rsidRPr="000B03C4" w:rsidRDefault="00FD0799" w:rsidP="00FD0799">
      <w:pPr>
        <w:rPr>
          <w:rFonts w:ascii="Times New Roman" w:hAnsi="Times New Roman" w:cs="Times New Roman"/>
          <w:szCs w:val="24"/>
        </w:rPr>
      </w:pPr>
      <w:r w:rsidRPr="000B03C4">
        <w:rPr>
          <w:rFonts w:ascii="Times New Roman" w:hAnsi="Times New Roman" w:cs="Times New Roman"/>
          <w:szCs w:val="24"/>
        </w:rPr>
        <w:lastRenderedPageBreak/>
        <w:t xml:space="preserve">Tal como está planteado anteriormente la consecuencia de adscribirse a la Corte Interamericana es que el Estado puede ser demandado por ella y el Tribunal podrá emitir una sentencia a favor o en contra de dicho Estado. A pesar de ello lo más complejo es delimitar la jurisprudencia de la Corte Interamericana y su capacidad para revocar sentencias emitidas en los tribunales nacionales. No obstante, la Corte puede y debe proteger a la víctima de la violación de sus derechos, siendo contundente  en términos de reparación. Ya que la reparación de la violación del derecho es considerada una atribución de la corte, el Tribunal puede sentenciar en función de la retribución a la víctima. En el caso Loayza Tamayo contra Perú, la corte ordenó poner en libertad a la señora y por primera vez se pudo aplicar la </w:t>
      </w:r>
      <w:proofErr w:type="spellStart"/>
      <w:r w:rsidRPr="000B03C4">
        <w:rPr>
          <w:rFonts w:ascii="Times New Roman" w:hAnsi="Times New Roman" w:cs="Times New Roman"/>
          <w:szCs w:val="24"/>
        </w:rPr>
        <w:t>restitutio</w:t>
      </w:r>
      <w:proofErr w:type="spellEnd"/>
      <w:r w:rsidRPr="000B03C4">
        <w:rPr>
          <w:rFonts w:ascii="Times New Roman" w:hAnsi="Times New Roman" w:cs="Times New Roman"/>
          <w:szCs w:val="24"/>
        </w:rPr>
        <w:t xml:space="preserve"> in </w:t>
      </w:r>
      <w:proofErr w:type="spellStart"/>
      <w:r w:rsidRPr="000B03C4">
        <w:rPr>
          <w:rFonts w:ascii="Times New Roman" w:hAnsi="Times New Roman" w:cs="Times New Roman"/>
          <w:szCs w:val="24"/>
        </w:rPr>
        <w:t>integrum</w:t>
      </w:r>
      <w:proofErr w:type="spellEnd"/>
      <w:r w:rsidRPr="000B03C4">
        <w:rPr>
          <w:rFonts w:ascii="Times New Roman" w:hAnsi="Times New Roman" w:cs="Times New Roman"/>
          <w:szCs w:val="24"/>
        </w:rPr>
        <w:t xml:space="preserve"> con relación a la violación de un derecho humano en un fallo internacional.</w:t>
      </w:r>
    </w:p>
    <w:p w:rsidR="00FD0799" w:rsidRPr="000B03C4" w:rsidRDefault="00FD0799" w:rsidP="00FD0799">
      <w:pPr>
        <w:rPr>
          <w:rFonts w:ascii="Times New Roman" w:hAnsi="Times New Roman" w:cs="Times New Roman"/>
          <w:szCs w:val="24"/>
        </w:rPr>
      </w:pPr>
      <w:r w:rsidRPr="000B03C4">
        <w:rPr>
          <w:rFonts w:ascii="Times New Roman" w:hAnsi="Times New Roman" w:cs="Times New Roman"/>
          <w:szCs w:val="24"/>
        </w:rPr>
        <w:t>En las sentencias dela Corte Interamericana se intenta evitar la apelación ante cualquier otra autoridad ya que si se permite que se establezcan interpretaciones con relación a su sentido y alcance por cualquiera de las partes, se afectaría la condición de definitivo e inapelable de este fallo.  Lo más preocupante en el caso de este tipo de sentencias es su ejecución que queda en mano del Estado que pudo haber sido considerado responsable no de la circunstancia violatoria sentenciada.</w:t>
      </w:r>
    </w:p>
    <w:p w:rsidR="00C11A84" w:rsidRPr="000B03C4" w:rsidRDefault="00C11A84" w:rsidP="00C11A84">
      <w:pPr>
        <w:rPr>
          <w:rFonts w:ascii="Times New Roman" w:hAnsi="Times New Roman" w:cs="Times New Roman"/>
          <w:szCs w:val="24"/>
        </w:rPr>
      </w:pPr>
      <w:r w:rsidRPr="000B03C4">
        <w:rPr>
          <w:rFonts w:ascii="Times New Roman" w:hAnsi="Times New Roman" w:cs="Times New Roman"/>
          <w:szCs w:val="24"/>
        </w:rPr>
        <w:t>Entre sus funciones la corte tiene la de juzgar la convencionalidad de una norma constitucional determinando si una ley resulta violatoria de las obligaciones internacionales asumidas por un Estado en virtud de un tratado.  </w:t>
      </w:r>
      <w:proofErr w:type="gramStart"/>
      <w:r w:rsidRPr="000B03C4">
        <w:rPr>
          <w:rFonts w:ascii="Times New Roman" w:hAnsi="Times New Roman" w:cs="Times New Roman"/>
          <w:szCs w:val="24"/>
        </w:rPr>
        <w:t>lo</w:t>
      </w:r>
      <w:proofErr w:type="gramEnd"/>
      <w:r w:rsidRPr="000B03C4">
        <w:rPr>
          <w:rFonts w:ascii="Times New Roman" w:hAnsi="Times New Roman" w:cs="Times New Roman"/>
          <w:szCs w:val="24"/>
        </w:rPr>
        <w:t xml:space="preserve"> que no siempre es bien aceptado pues algunos juristas cuestionan si un tribunal internacional puede censurar una disposición constitucional.</w:t>
      </w:r>
    </w:p>
    <w:p w:rsidR="00C11A84" w:rsidRPr="000B03C4" w:rsidRDefault="00C11A84" w:rsidP="00C11A84">
      <w:pPr>
        <w:rPr>
          <w:rFonts w:ascii="Times New Roman" w:hAnsi="Times New Roman" w:cs="Times New Roman"/>
          <w:szCs w:val="24"/>
        </w:rPr>
      </w:pPr>
      <w:r w:rsidRPr="000B03C4">
        <w:rPr>
          <w:rFonts w:ascii="Times New Roman" w:hAnsi="Times New Roman" w:cs="Times New Roman"/>
          <w:szCs w:val="24"/>
        </w:rPr>
        <w:t>En materia de Derecho Internacional es precisamente para eso que es necesaria la Corte: para proteger de la violación “constitucional” de los Derechos Humanos. No se puede esperar que derechos inalienables se subordinen a prácticas regionales permeadas  de las limitaciones del Estado que la gesta.</w:t>
      </w:r>
    </w:p>
    <w:p w:rsidR="00C11A84" w:rsidRPr="000B03C4" w:rsidRDefault="00C11A84" w:rsidP="004A5FB1">
      <w:pPr>
        <w:rPr>
          <w:rFonts w:ascii="Times New Roman" w:hAnsi="Times New Roman" w:cs="Times New Roman"/>
          <w:szCs w:val="24"/>
          <w:shd w:val="clear" w:color="auto" w:fill="FFFFFF"/>
        </w:rPr>
      </w:pPr>
      <w:r w:rsidRPr="000B03C4">
        <w:rPr>
          <w:rFonts w:ascii="Times New Roman" w:hAnsi="Times New Roman" w:cs="Times New Roman"/>
          <w:i/>
          <w:szCs w:val="24"/>
          <w:shd w:val="clear" w:color="auto" w:fill="FFFFFF"/>
        </w:rPr>
        <w:t>En la perspectiva del derecho internacional a la que se ajusta el derecho internacional de los derechos humanos, rige el principio de la norma </w:t>
      </w:r>
      <w:r w:rsidRPr="000B03C4">
        <w:rPr>
          <w:rFonts w:ascii="Times New Roman" w:hAnsi="Times New Roman" w:cs="Times New Roman"/>
          <w:i/>
          <w:iCs/>
          <w:szCs w:val="24"/>
          <w:shd w:val="clear" w:color="auto" w:fill="FFFFFF"/>
        </w:rPr>
        <w:t xml:space="preserve">pacta </w:t>
      </w:r>
      <w:proofErr w:type="spellStart"/>
      <w:r w:rsidRPr="000B03C4">
        <w:rPr>
          <w:rFonts w:ascii="Times New Roman" w:hAnsi="Times New Roman" w:cs="Times New Roman"/>
          <w:i/>
          <w:iCs/>
          <w:szCs w:val="24"/>
          <w:shd w:val="clear" w:color="auto" w:fill="FFFFFF"/>
        </w:rPr>
        <w:t>sunt</w:t>
      </w:r>
      <w:proofErr w:type="spellEnd"/>
      <w:r w:rsidRPr="000B03C4">
        <w:rPr>
          <w:rFonts w:ascii="Times New Roman" w:hAnsi="Times New Roman" w:cs="Times New Roman"/>
          <w:i/>
          <w:iCs/>
          <w:szCs w:val="24"/>
          <w:shd w:val="clear" w:color="auto" w:fill="FFFFFF"/>
        </w:rPr>
        <w:t xml:space="preserve"> </w:t>
      </w:r>
      <w:proofErr w:type="spellStart"/>
      <w:r w:rsidRPr="000B03C4">
        <w:rPr>
          <w:rFonts w:ascii="Times New Roman" w:hAnsi="Times New Roman" w:cs="Times New Roman"/>
          <w:i/>
          <w:iCs/>
          <w:szCs w:val="24"/>
          <w:shd w:val="clear" w:color="auto" w:fill="FFFFFF"/>
        </w:rPr>
        <w:t>servanda</w:t>
      </w:r>
      <w:proofErr w:type="spellEnd"/>
      <w:r w:rsidRPr="000B03C4">
        <w:rPr>
          <w:rFonts w:ascii="Times New Roman" w:hAnsi="Times New Roman" w:cs="Times New Roman"/>
          <w:i/>
          <w:iCs/>
          <w:szCs w:val="24"/>
          <w:shd w:val="clear" w:color="auto" w:fill="FFFFFF"/>
        </w:rPr>
        <w:t>,</w:t>
      </w:r>
      <w:r w:rsidRPr="000B03C4">
        <w:rPr>
          <w:rFonts w:ascii="Times New Roman" w:hAnsi="Times New Roman" w:cs="Times New Roman"/>
          <w:i/>
          <w:szCs w:val="24"/>
          <w:shd w:val="clear" w:color="auto" w:fill="FFFFFF"/>
        </w:rPr>
        <w:t xml:space="preserve"> que prescribe la obligatoriedad de los pactos, consagrada por el derecho consuetudinario y por el derecho convencional, cuya máxima expresión es el artículo 26 de la </w:t>
      </w:r>
      <w:r w:rsidRPr="000B03C4">
        <w:rPr>
          <w:rFonts w:ascii="Times New Roman" w:hAnsi="Times New Roman" w:cs="Times New Roman"/>
          <w:i/>
          <w:szCs w:val="24"/>
          <w:shd w:val="clear" w:color="auto" w:fill="FFFFFF"/>
        </w:rPr>
        <w:lastRenderedPageBreak/>
        <w:t>Convención de Viena de 1969 sobre el derecho de los tratados y que, consecuentemente, se aplica a la normatividad interamericana y se enlaza con el artículo 68 de la Convención Americana que impone a los Estados que hayan aceptado la jurisdicción obligatoria de la Corte el compromiso de cumplir las sentencias a cabalidad.</w:t>
      </w:r>
      <w:r w:rsidRPr="000B03C4">
        <w:rPr>
          <w:rFonts w:ascii="Times New Roman" w:hAnsi="Times New Roman" w:cs="Times New Roman"/>
          <w:szCs w:val="24"/>
          <w:shd w:val="clear" w:color="auto" w:fill="FFFFFF"/>
        </w:rPr>
        <w:t xml:space="preserve"> </w:t>
      </w:r>
      <w:sdt>
        <w:sdtPr>
          <w:rPr>
            <w:rFonts w:ascii="Times New Roman" w:hAnsi="Times New Roman" w:cs="Times New Roman"/>
            <w:szCs w:val="24"/>
            <w:shd w:val="clear" w:color="auto" w:fill="FFFFFF"/>
          </w:rPr>
          <w:id w:val="1786537165"/>
          <w:citation/>
        </w:sdtPr>
        <w:sdtEndPr/>
        <w:sdtContent>
          <w:r w:rsidRPr="000B03C4">
            <w:rPr>
              <w:rFonts w:ascii="Times New Roman" w:hAnsi="Times New Roman" w:cs="Times New Roman"/>
              <w:szCs w:val="24"/>
              <w:shd w:val="clear" w:color="auto" w:fill="FFFFFF"/>
            </w:rPr>
            <w:fldChar w:fldCharType="begin"/>
          </w:r>
          <w:r w:rsidRPr="000B03C4">
            <w:rPr>
              <w:rFonts w:ascii="Times New Roman" w:hAnsi="Times New Roman" w:cs="Times New Roman"/>
              <w:szCs w:val="24"/>
              <w:shd w:val="clear" w:color="auto" w:fill="FFFFFF"/>
            </w:rPr>
            <w:instrText xml:space="preserve"> CITATION Mén14 \l 12298 </w:instrText>
          </w:r>
          <w:r w:rsidRPr="000B03C4">
            <w:rPr>
              <w:rFonts w:ascii="Times New Roman" w:hAnsi="Times New Roman" w:cs="Times New Roman"/>
              <w:szCs w:val="24"/>
              <w:shd w:val="clear" w:color="auto" w:fill="FFFFFF"/>
            </w:rPr>
            <w:fldChar w:fldCharType="separate"/>
          </w:r>
          <w:r w:rsidRPr="000B03C4">
            <w:rPr>
              <w:rFonts w:ascii="Times New Roman" w:hAnsi="Times New Roman" w:cs="Times New Roman"/>
              <w:noProof/>
              <w:szCs w:val="24"/>
              <w:shd w:val="clear" w:color="auto" w:fill="FFFFFF"/>
            </w:rPr>
            <w:t>(Méndez Silva, 2014)</w:t>
          </w:r>
          <w:r w:rsidRPr="000B03C4">
            <w:rPr>
              <w:rFonts w:ascii="Times New Roman" w:hAnsi="Times New Roman" w:cs="Times New Roman"/>
              <w:szCs w:val="24"/>
              <w:shd w:val="clear" w:color="auto" w:fill="FFFFFF"/>
            </w:rPr>
            <w:fldChar w:fldCharType="end"/>
          </w:r>
        </w:sdtContent>
      </w:sdt>
    </w:p>
    <w:p w:rsidR="004A5FB1" w:rsidRPr="000B03C4" w:rsidRDefault="004A5FB1" w:rsidP="004A5FB1">
      <w:pPr>
        <w:pStyle w:val="Ttulo1"/>
        <w:rPr>
          <w:rFonts w:ascii="Times New Roman" w:hAnsi="Times New Roman" w:cs="Times New Roman"/>
          <w:sz w:val="24"/>
          <w:szCs w:val="24"/>
          <w:shd w:val="clear" w:color="auto" w:fill="FFFFFF"/>
        </w:rPr>
      </w:pPr>
      <w:r w:rsidRPr="000B03C4">
        <w:rPr>
          <w:rFonts w:ascii="Times New Roman" w:hAnsi="Times New Roman" w:cs="Times New Roman"/>
          <w:sz w:val="24"/>
          <w:szCs w:val="24"/>
          <w:shd w:val="clear" w:color="auto" w:fill="FFFFFF"/>
        </w:rPr>
        <w:t>Impacto de la Convención Interamericana de Derechos Humanos en la política nacional</w:t>
      </w:r>
      <w:r w:rsidR="00D438F0" w:rsidRPr="000B03C4">
        <w:rPr>
          <w:rFonts w:ascii="Times New Roman" w:hAnsi="Times New Roman" w:cs="Times New Roman"/>
          <w:sz w:val="24"/>
          <w:szCs w:val="24"/>
          <w:shd w:val="clear" w:color="auto" w:fill="FFFFFF"/>
        </w:rPr>
        <w:t>.</w:t>
      </w:r>
      <w:r w:rsidRPr="000B03C4">
        <w:rPr>
          <w:rFonts w:ascii="Times New Roman" w:hAnsi="Times New Roman" w:cs="Times New Roman"/>
          <w:sz w:val="24"/>
          <w:szCs w:val="24"/>
          <w:shd w:val="clear" w:color="auto" w:fill="FFFFFF"/>
        </w:rPr>
        <w:t xml:space="preserve"> </w:t>
      </w:r>
    </w:p>
    <w:p w:rsidR="004A5FB1" w:rsidRPr="000B03C4" w:rsidRDefault="00D438F0" w:rsidP="00D438F0">
      <w:pPr>
        <w:rPr>
          <w:rFonts w:ascii="Times New Roman" w:hAnsi="Times New Roman" w:cs="Times New Roman"/>
          <w:szCs w:val="24"/>
          <w:shd w:val="clear" w:color="auto" w:fill="FFFFFF"/>
        </w:rPr>
      </w:pPr>
      <w:r w:rsidRPr="000B03C4">
        <w:rPr>
          <w:rFonts w:ascii="Times New Roman" w:hAnsi="Times New Roman" w:cs="Times New Roman"/>
          <w:szCs w:val="24"/>
          <w:shd w:val="clear" w:color="auto" w:fill="FFFFFF"/>
        </w:rPr>
        <w:t>Ecuador ha sido condenado trece veces en la Corte Interamericana de Derechos Humanos y el delito más frecuente es la violación del derecho a la salud. En la intervención del presidente Correa en la quincuagésima sexta sesión extraordinaria de la Corte Interamericana de Derechos Humanos</w:t>
      </w:r>
      <w:r w:rsidR="00182911" w:rsidRPr="000B03C4">
        <w:rPr>
          <w:rFonts w:ascii="Times New Roman" w:hAnsi="Times New Roman" w:cs="Times New Roman"/>
          <w:szCs w:val="24"/>
          <w:shd w:val="clear" w:color="auto" w:fill="FFFFFF"/>
        </w:rPr>
        <w:t xml:space="preserve"> d</w:t>
      </w:r>
      <w:r w:rsidRPr="000B03C4">
        <w:rPr>
          <w:rFonts w:ascii="Times New Roman" w:hAnsi="Times New Roman" w:cs="Times New Roman"/>
          <w:szCs w:val="24"/>
          <w:shd w:val="clear" w:color="auto" w:fill="FFFFFF"/>
        </w:rPr>
        <w:t xml:space="preserve">estacaba la creación, en el 2007 de la Comisión de la Verdad creada para esclarecer los hechos de violaciones a los derechos humanos; la Constitución de 2008, y la reforma judicial. </w:t>
      </w:r>
      <w:sdt>
        <w:sdtPr>
          <w:rPr>
            <w:rFonts w:ascii="Times New Roman" w:hAnsi="Times New Roman" w:cs="Times New Roman"/>
            <w:szCs w:val="24"/>
            <w:shd w:val="clear" w:color="auto" w:fill="FFFFFF"/>
          </w:rPr>
          <w:id w:val="-140120087"/>
          <w:citation/>
        </w:sdtPr>
        <w:sdtEndPr/>
        <w:sdtContent>
          <w:r w:rsidRPr="000B03C4">
            <w:rPr>
              <w:rFonts w:ascii="Times New Roman" w:hAnsi="Times New Roman" w:cs="Times New Roman"/>
              <w:szCs w:val="24"/>
              <w:shd w:val="clear" w:color="auto" w:fill="FFFFFF"/>
            </w:rPr>
            <w:fldChar w:fldCharType="begin"/>
          </w:r>
          <w:r w:rsidRPr="000B03C4">
            <w:rPr>
              <w:rFonts w:ascii="Times New Roman" w:hAnsi="Times New Roman" w:cs="Times New Roman"/>
              <w:szCs w:val="24"/>
              <w:shd w:val="clear" w:color="auto" w:fill="FFFFFF"/>
            </w:rPr>
            <w:instrText xml:space="preserve"> CITATION Jus16 \l 12298 </w:instrText>
          </w:r>
          <w:r w:rsidRPr="000B03C4">
            <w:rPr>
              <w:rFonts w:ascii="Times New Roman" w:hAnsi="Times New Roman" w:cs="Times New Roman"/>
              <w:szCs w:val="24"/>
              <w:shd w:val="clear" w:color="auto" w:fill="FFFFFF"/>
            </w:rPr>
            <w:fldChar w:fldCharType="separate"/>
          </w:r>
          <w:r w:rsidRPr="000B03C4">
            <w:rPr>
              <w:rFonts w:ascii="Times New Roman" w:hAnsi="Times New Roman" w:cs="Times New Roman"/>
              <w:noProof/>
              <w:szCs w:val="24"/>
              <w:shd w:val="clear" w:color="auto" w:fill="FFFFFF"/>
            </w:rPr>
            <w:t>(Justicia, 2016)</w:t>
          </w:r>
          <w:r w:rsidRPr="000B03C4">
            <w:rPr>
              <w:rFonts w:ascii="Times New Roman" w:hAnsi="Times New Roman" w:cs="Times New Roman"/>
              <w:szCs w:val="24"/>
              <w:shd w:val="clear" w:color="auto" w:fill="FFFFFF"/>
            </w:rPr>
            <w:fldChar w:fldCharType="end"/>
          </w:r>
        </w:sdtContent>
      </w:sdt>
    </w:p>
    <w:p w:rsidR="00182911" w:rsidRPr="000B03C4" w:rsidRDefault="00182911" w:rsidP="00D438F0">
      <w:pPr>
        <w:rPr>
          <w:rFonts w:ascii="Times New Roman" w:hAnsi="Times New Roman" w:cs="Times New Roman"/>
          <w:szCs w:val="24"/>
        </w:rPr>
      </w:pPr>
      <w:r w:rsidRPr="000B03C4">
        <w:rPr>
          <w:rFonts w:ascii="Times New Roman" w:hAnsi="Times New Roman" w:cs="Times New Roman"/>
          <w:szCs w:val="24"/>
          <w:shd w:val="clear" w:color="auto" w:fill="FFFFFF"/>
        </w:rPr>
        <w:t xml:space="preserve">En México </w:t>
      </w:r>
      <w:r w:rsidRPr="000B03C4">
        <w:rPr>
          <w:rFonts w:ascii="Times New Roman" w:hAnsi="Times New Roman" w:cs="Times New Roman"/>
          <w:szCs w:val="24"/>
        </w:rPr>
        <w:t xml:space="preserve">la Comisión Nacional de Derechos Humanos, originalmente creada como parte de la Secretaría de Gobernación, fue transformada en una “agencia descentralizada” por una reforma constitucional de 1992 que le otorgó personalidad jurídica propia. La “Ley de la CNDH”, aprobada ese mismo año, le otorgaba a la institución la posibilidad de diseñar sus propias reglas internas y administrar sus recursos. </w:t>
      </w:r>
      <w:r w:rsidRPr="000B03C4">
        <w:rPr>
          <w:rFonts w:ascii="Times New Roman" w:hAnsi="Times New Roman" w:cs="Times New Roman"/>
          <w:i/>
          <w:szCs w:val="24"/>
        </w:rPr>
        <w:t>El inconveniente es que la CNDH no ha ejercido plenamente su amplio mandato ni maximizado el uso de sus cuantiosos recursos. Una y otra vez, la CNDH no impulsa a las instituciones del Estado a reparar los abusos que ha documentado, no promueve las reformas necesarias para prevenir abusos futuros, no se opone a leyes, políticas y prácticas abusivas y contrarias a estándares internacionales de derechos humanos, no entrega ni difunde información que posee sobre casos de derechos humanos y no siempre se relaciona constructivamente con actores claves que buscan promover el progreso de los derechos humanos en México</w:t>
      </w:r>
      <w:r w:rsidRPr="000B03C4">
        <w:rPr>
          <w:rFonts w:ascii="Times New Roman" w:hAnsi="Times New Roman" w:cs="Times New Roman"/>
          <w:szCs w:val="24"/>
        </w:rPr>
        <w:t xml:space="preserve">.  </w:t>
      </w:r>
      <w:sdt>
        <w:sdtPr>
          <w:rPr>
            <w:rFonts w:ascii="Times New Roman" w:hAnsi="Times New Roman" w:cs="Times New Roman"/>
            <w:szCs w:val="24"/>
          </w:rPr>
          <w:id w:val="-1688213800"/>
          <w:citation/>
        </w:sdtPr>
        <w:sdtEndPr/>
        <w:sdtContent>
          <w:r w:rsidRPr="000B03C4">
            <w:rPr>
              <w:rFonts w:ascii="Times New Roman" w:hAnsi="Times New Roman" w:cs="Times New Roman"/>
              <w:szCs w:val="24"/>
            </w:rPr>
            <w:fldChar w:fldCharType="begin"/>
          </w:r>
          <w:r w:rsidRPr="000B03C4">
            <w:rPr>
              <w:rFonts w:ascii="Times New Roman" w:hAnsi="Times New Roman" w:cs="Times New Roman"/>
              <w:szCs w:val="24"/>
            </w:rPr>
            <w:instrText xml:space="preserve"> CITATION LaC08 \l 12298 </w:instrText>
          </w:r>
          <w:r w:rsidRPr="000B03C4">
            <w:rPr>
              <w:rFonts w:ascii="Times New Roman" w:hAnsi="Times New Roman" w:cs="Times New Roman"/>
              <w:szCs w:val="24"/>
            </w:rPr>
            <w:fldChar w:fldCharType="separate"/>
          </w:r>
          <w:r w:rsidRPr="000B03C4">
            <w:rPr>
              <w:rFonts w:ascii="Times New Roman" w:hAnsi="Times New Roman" w:cs="Times New Roman"/>
              <w:noProof/>
              <w:szCs w:val="24"/>
            </w:rPr>
            <w:t>(La Comisión Nacional de los Derechos Humanos de México. La Comisión Nacional de los Derechos Humanos de México, 2008)</w:t>
          </w:r>
          <w:r w:rsidRPr="000B03C4">
            <w:rPr>
              <w:rFonts w:ascii="Times New Roman" w:hAnsi="Times New Roman" w:cs="Times New Roman"/>
              <w:szCs w:val="24"/>
            </w:rPr>
            <w:fldChar w:fldCharType="end"/>
          </w:r>
        </w:sdtContent>
      </w:sdt>
    </w:p>
    <w:p w:rsidR="00BD3A01" w:rsidRPr="000B03C4" w:rsidRDefault="00BD3A01" w:rsidP="00BD3A01">
      <w:pPr>
        <w:rPr>
          <w:rFonts w:ascii="Times New Roman" w:hAnsi="Times New Roman" w:cs="Times New Roman"/>
          <w:i/>
          <w:szCs w:val="24"/>
        </w:rPr>
      </w:pPr>
      <w:r w:rsidRPr="000B03C4">
        <w:rPr>
          <w:rFonts w:ascii="Times New Roman" w:hAnsi="Times New Roman" w:cs="Times New Roman"/>
          <w:i/>
          <w:szCs w:val="24"/>
        </w:rPr>
        <w:t xml:space="preserve">La interpretación receptiva de los jueces nacionales es aquella que se conforma a la ratio </w:t>
      </w:r>
      <w:proofErr w:type="spellStart"/>
      <w:r w:rsidRPr="000B03C4">
        <w:rPr>
          <w:rFonts w:ascii="Times New Roman" w:hAnsi="Times New Roman" w:cs="Times New Roman"/>
          <w:i/>
          <w:szCs w:val="24"/>
        </w:rPr>
        <w:t>decidendi</w:t>
      </w:r>
      <w:proofErr w:type="spellEnd"/>
      <w:r w:rsidRPr="000B03C4">
        <w:rPr>
          <w:rFonts w:ascii="Times New Roman" w:hAnsi="Times New Roman" w:cs="Times New Roman"/>
          <w:i/>
          <w:szCs w:val="24"/>
        </w:rPr>
        <w:t xml:space="preserve"> de las sentencias de condena de otros Estados-Parte de la CADH por </w:t>
      </w:r>
      <w:r w:rsidRPr="000B03C4">
        <w:rPr>
          <w:rFonts w:ascii="Times New Roman" w:hAnsi="Times New Roman" w:cs="Times New Roman"/>
          <w:i/>
          <w:szCs w:val="24"/>
        </w:rPr>
        <w:lastRenderedPageBreak/>
        <w:t xml:space="preserve">violación de ésta, tomando la iniciativa de cambiar su propia jurisprudencia, sin esperar que el Estado-Parte sea condenado por violación del corpus iuris interamericano para hacerlo, como asimismo ampliando los atributos y garantías de los derechos fundamentales en base a los estándares mínimos fijados por la CIDH, dejando así su huella sobre el derecho interno, completándolo o aplicando preferentemente el derecho convencional, sorteando las situaciones de </w:t>
      </w:r>
      <w:proofErr w:type="spellStart"/>
      <w:r w:rsidRPr="000B03C4">
        <w:rPr>
          <w:rFonts w:ascii="Times New Roman" w:hAnsi="Times New Roman" w:cs="Times New Roman"/>
          <w:i/>
          <w:szCs w:val="24"/>
        </w:rPr>
        <w:t>inconvencionalidad</w:t>
      </w:r>
      <w:proofErr w:type="spellEnd"/>
      <w:r w:rsidRPr="000B03C4">
        <w:rPr>
          <w:rFonts w:ascii="Times New Roman" w:hAnsi="Times New Roman" w:cs="Times New Roman"/>
          <w:i/>
          <w:szCs w:val="24"/>
        </w:rPr>
        <w:t xml:space="preserve"> o estableciendo estándares de interpretación de derechos no contenidos explícitamente en el derecho interno como el principio favor persona o el principio de progresividad, el de razonabilidad y de proporcionalidad, entre muchos otros.</w:t>
      </w:r>
      <w:sdt>
        <w:sdtPr>
          <w:rPr>
            <w:rFonts w:ascii="Times New Roman" w:hAnsi="Times New Roman" w:cs="Times New Roman"/>
            <w:i/>
            <w:szCs w:val="24"/>
          </w:rPr>
          <w:id w:val="1896092041"/>
          <w:citation/>
        </w:sdtPr>
        <w:sdtEndPr/>
        <w:sdtContent>
          <w:r w:rsidRPr="000B03C4">
            <w:rPr>
              <w:rFonts w:ascii="Times New Roman" w:hAnsi="Times New Roman" w:cs="Times New Roman"/>
              <w:i/>
              <w:szCs w:val="24"/>
            </w:rPr>
            <w:fldChar w:fldCharType="begin"/>
          </w:r>
          <w:r w:rsidRPr="000B03C4">
            <w:rPr>
              <w:rFonts w:ascii="Times New Roman" w:hAnsi="Times New Roman" w:cs="Times New Roman"/>
              <w:i/>
              <w:szCs w:val="24"/>
            </w:rPr>
            <w:instrText xml:space="preserve"> CITATION Nog17 \l 12298 </w:instrText>
          </w:r>
          <w:r w:rsidRPr="000B03C4">
            <w:rPr>
              <w:rFonts w:ascii="Times New Roman" w:hAnsi="Times New Roman" w:cs="Times New Roman"/>
              <w:i/>
              <w:szCs w:val="24"/>
            </w:rPr>
            <w:fldChar w:fldCharType="separate"/>
          </w:r>
          <w:r w:rsidRPr="000B03C4">
            <w:rPr>
              <w:rFonts w:ascii="Times New Roman" w:hAnsi="Times New Roman" w:cs="Times New Roman"/>
              <w:i/>
              <w:noProof/>
              <w:szCs w:val="24"/>
            </w:rPr>
            <w:t xml:space="preserve"> </w:t>
          </w:r>
          <w:r w:rsidRPr="000B03C4">
            <w:rPr>
              <w:rFonts w:ascii="Times New Roman" w:hAnsi="Times New Roman" w:cs="Times New Roman"/>
              <w:noProof/>
              <w:szCs w:val="24"/>
            </w:rPr>
            <w:t>(Nogueira Alcalá, 2017)</w:t>
          </w:r>
          <w:r w:rsidRPr="000B03C4">
            <w:rPr>
              <w:rFonts w:ascii="Times New Roman" w:hAnsi="Times New Roman" w:cs="Times New Roman"/>
              <w:i/>
              <w:szCs w:val="24"/>
            </w:rPr>
            <w:fldChar w:fldCharType="end"/>
          </w:r>
        </w:sdtContent>
      </w:sdt>
    </w:p>
    <w:p w:rsidR="00BD3A01" w:rsidRPr="000B03C4" w:rsidRDefault="00BD3A01" w:rsidP="00BD3A01">
      <w:pPr>
        <w:rPr>
          <w:rFonts w:ascii="Times New Roman" w:hAnsi="Times New Roman" w:cs="Times New Roman"/>
          <w:szCs w:val="24"/>
        </w:rPr>
      </w:pPr>
      <w:r w:rsidRPr="000B03C4">
        <w:rPr>
          <w:rFonts w:ascii="Times New Roman" w:hAnsi="Times New Roman" w:cs="Times New Roman"/>
          <w:szCs w:val="24"/>
        </w:rPr>
        <w:t>Puede señalarse que éste es el camino desarrollado por el Tribunal Constitucional chileno cuando aplica el principio pro homine o favor persona, desarrollado por la Opinión Consultiva Nº 5/1985 de la CIDH, en aplicación del artículo 29 de la CADH, en la sentencia 1361-09:</w:t>
      </w:r>
    </w:p>
    <w:p w:rsidR="00BD3A01" w:rsidRPr="000B03C4" w:rsidRDefault="00BD3A01" w:rsidP="00BD3A01">
      <w:pPr>
        <w:rPr>
          <w:rFonts w:ascii="Times New Roman" w:hAnsi="Times New Roman" w:cs="Times New Roman"/>
          <w:szCs w:val="24"/>
        </w:rPr>
      </w:pPr>
      <w:r w:rsidRPr="000B03C4">
        <w:rPr>
          <w:rFonts w:ascii="Times New Roman" w:hAnsi="Times New Roman" w:cs="Times New Roman"/>
          <w:szCs w:val="24"/>
        </w:rPr>
        <w:t>“Que, por otra parte, en el ejercicio de sus funciones, este Tribunal debe buscar aquella interpretación que se avenga mejor con el respeto de los derechos constitucionales. Así lo ha sostenido: “En tal sentido, parece ineludible tener presente el principio “pro homine” o “favor libertatis” definido en la jurisprudencia de la Corte Interamericana de Derechos Humanos de la siguiente forma: “Entre diversas opciones se ha de escoger la que restringe en menor escala el derecho protegido... debe prevalecer la norma más favorable a la persona humana” Opinión Consultiva 5, 1985;” Rol 740”</w:t>
      </w:r>
      <w:bookmarkStart w:id="0" w:name="53"/>
      <w:bookmarkEnd w:id="0"/>
    </w:p>
    <w:p w:rsidR="007B68D7" w:rsidRPr="000B03C4" w:rsidRDefault="00BD3A01" w:rsidP="00BD3A01">
      <w:pPr>
        <w:rPr>
          <w:rFonts w:ascii="Times New Roman" w:hAnsi="Times New Roman" w:cs="Times New Roman"/>
          <w:szCs w:val="24"/>
        </w:rPr>
      </w:pPr>
      <w:r w:rsidRPr="000B03C4">
        <w:rPr>
          <w:rFonts w:ascii="Times New Roman" w:hAnsi="Times New Roman" w:cs="Times New Roman"/>
          <w:szCs w:val="24"/>
        </w:rPr>
        <w:t>Por último</w:t>
      </w:r>
      <w:r w:rsidR="007B68D7" w:rsidRPr="000B03C4">
        <w:rPr>
          <w:rFonts w:ascii="Times New Roman" w:hAnsi="Times New Roman" w:cs="Times New Roman"/>
          <w:szCs w:val="24"/>
        </w:rPr>
        <w:t>,</w:t>
      </w:r>
      <w:r w:rsidRPr="000B03C4">
        <w:rPr>
          <w:rFonts w:ascii="Times New Roman" w:hAnsi="Times New Roman" w:cs="Times New Roman"/>
          <w:szCs w:val="24"/>
        </w:rPr>
        <w:t xml:space="preserve"> un gran número de sentencias reparadoras de la violación de los Derechos Humanos, la posibilidad en apelar en una cuarta instancia que</w:t>
      </w:r>
      <w:r w:rsidR="007B68D7" w:rsidRPr="000B03C4">
        <w:rPr>
          <w:rFonts w:ascii="Times New Roman" w:hAnsi="Times New Roman" w:cs="Times New Roman"/>
          <w:szCs w:val="24"/>
        </w:rPr>
        <w:t xml:space="preserve"> </w:t>
      </w:r>
      <w:r w:rsidRPr="000B03C4">
        <w:rPr>
          <w:rFonts w:ascii="Times New Roman" w:hAnsi="Times New Roman" w:cs="Times New Roman"/>
          <w:szCs w:val="24"/>
        </w:rPr>
        <w:t>no depende del poder político</w:t>
      </w:r>
      <w:r w:rsidR="007B68D7" w:rsidRPr="000B03C4">
        <w:rPr>
          <w:rFonts w:ascii="Times New Roman" w:hAnsi="Times New Roman" w:cs="Times New Roman"/>
          <w:szCs w:val="24"/>
        </w:rPr>
        <w:t xml:space="preserve"> constituye una evidencia del impacto saludable que ejerce la Corte Interamericana de Justicia en el ejercicio nacional e internacional del Derecho. </w:t>
      </w:r>
    </w:p>
    <w:p w:rsidR="007B68D7" w:rsidRPr="000B03C4" w:rsidRDefault="007B68D7" w:rsidP="007B68D7">
      <w:pPr>
        <w:pStyle w:val="Ttulo1"/>
        <w:rPr>
          <w:rFonts w:ascii="Times New Roman" w:hAnsi="Times New Roman" w:cs="Times New Roman"/>
          <w:sz w:val="24"/>
          <w:szCs w:val="24"/>
        </w:rPr>
      </w:pPr>
      <w:r w:rsidRPr="000B03C4">
        <w:rPr>
          <w:rFonts w:ascii="Times New Roman" w:hAnsi="Times New Roman" w:cs="Times New Roman"/>
          <w:sz w:val="24"/>
          <w:szCs w:val="24"/>
        </w:rPr>
        <w:t>Conclusiones</w:t>
      </w:r>
    </w:p>
    <w:p w:rsidR="00182911" w:rsidRPr="000B03C4" w:rsidRDefault="007B68D7" w:rsidP="00D438F0">
      <w:pPr>
        <w:rPr>
          <w:rFonts w:ascii="Times New Roman" w:hAnsi="Times New Roman" w:cs="Times New Roman"/>
          <w:szCs w:val="24"/>
        </w:rPr>
      </w:pPr>
      <w:r w:rsidRPr="000B03C4">
        <w:rPr>
          <w:rFonts w:ascii="Times New Roman" w:hAnsi="Times New Roman" w:cs="Times New Roman"/>
          <w:szCs w:val="24"/>
        </w:rPr>
        <w:t xml:space="preserve">La posibilidad de apelar y ser representado en contra de un Estado que viola sus obligaciones o de que puedan juzgadas  prácticas denigrantes justificadas por políticas enaltecedoras de desigualdades e inequidades, así como de actos disfrazados de patriotismo en contextos bélicos o de crisis; es la expresión también del ejercicio de los </w:t>
      </w:r>
      <w:r w:rsidRPr="000B03C4">
        <w:rPr>
          <w:rFonts w:ascii="Times New Roman" w:hAnsi="Times New Roman" w:cs="Times New Roman"/>
          <w:szCs w:val="24"/>
        </w:rPr>
        <w:lastRenderedPageBreak/>
        <w:t>Derechos Humanos y su limitación por gobiernos o tribunales “constitucionalistas” constituyen un reclamo de impunidad insostenible.</w:t>
      </w:r>
    </w:p>
    <w:p w:rsidR="00497937" w:rsidRPr="000B03C4" w:rsidRDefault="00497937" w:rsidP="00FD0799">
      <w:pPr>
        <w:rPr>
          <w:rFonts w:ascii="Times New Roman" w:hAnsi="Times New Roman" w:cs="Times New Roman"/>
          <w:szCs w:val="24"/>
        </w:rPr>
      </w:pPr>
    </w:p>
    <w:p w:rsidR="00202D32" w:rsidRPr="000B03C4" w:rsidRDefault="00202D32" w:rsidP="009B6D80">
      <w:pPr>
        <w:rPr>
          <w:rFonts w:ascii="Times New Roman" w:hAnsi="Times New Roman" w:cs="Times New Roman"/>
          <w:szCs w:val="24"/>
        </w:rPr>
      </w:pPr>
    </w:p>
    <w:p w:rsidR="00594F18" w:rsidRPr="000B03C4" w:rsidRDefault="006076F5" w:rsidP="006076F5">
      <w:pPr>
        <w:pStyle w:val="Ttulo1"/>
        <w:rPr>
          <w:rFonts w:ascii="Times New Roman" w:hAnsi="Times New Roman" w:cs="Times New Roman"/>
          <w:sz w:val="24"/>
          <w:szCs w:val="24"/>
        </w:rPr>
      </w:pPr>
      <w:r w:rsidRPr="000B03C4">
        <w:rPr>
          <w:rFonts w:ascii="Times New Roman" w:hAnsi="Times New Roman" w:cs="Times New Roman"/>
          <w:sz w:val="24"/>
          <w:szCs w:val="24"/>
        </w:rPr>
        <w:t>Referencias Bibliográficas</w:t>
      </w:r>
      <w:bookmarkStart w:id="1" w:name="_GoBack"/>
      <w:bookmarkEnd w:id="1"/>
    </w:p>
    <w:p w:rsidR="00497937" w:rsidRPr="000B03C4" w:rsidRDefault="00594F18"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szCs w:val="24"/>
        </w:rPr>
        <w:fldChar w:fldCharType="begin"/>
      </w:r>
      <w:r w:rsidRPr="000B03C4">
        <w:rPr>
          <w:rFonts w:ascii="Times New Roman" w:hAnsi="Times New Roman" w:cs="Times New Roman"/>
          <w:szCs w:val="24"/>
          <w:lang w:val="es-ES"/>
        </w:rPr>
        <w:instrText xml:space="preserve"> BIBLIOGRAPHY  \l 3082 </w:instrText>
      </w:r>
      <w:r w:rsidRPr="000B03C4">
        <w:rPr>
          <w:rFonts w:ascii="Times New Roman" w:hAnsi="Times New Roman" w:cs="Times New Roman"/>
          <w:szCs w:val="24"/>
        </w:rPr>
        <w:fldChar w:fldCharType="separate"/>
      </w:r>
      <w:r w:rsidR="00497937" w:rsidRPr="000B03C4">
        <w:rPr>
          <w:rFonts w:ascii="Times New Roman" w:hAnsi="Times New Roman" w:cs="Times New Roman"/>
          <w:noProof/>
          <w:szCs w:val="24"/>
          <w:lang w:val="es-ES"/>
        </w:rPr>
        <w:t>(s.f.). Obtenido de http://www.observatori.org/paises/pais_57/documentos/Ruanda.pdf</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t xml:space="preserve">Bassiouni, C. (1967). El Derecho penal internacional: Historia, objeto y contenido. </w:t>
      </w:r>
      <w:r w:rsidRPr="000B03C4">
        <w:rPr>
          <w:rFonts w:ascii="Times New Roman" w:hAnsi="Times New Roman" w:cs="Times New Roman"/>
          <w:i/>
          <w:iCs/>
          <w:noProof/>
          <w:szCs w:val="24"/>
          <w:lang w:val="es-ES"/>
        </w:rPr>
        <w:t>Education, 127</w:t>
      </w:r>
      <w:r w:rsidRPr="000B03C4">
        <w:rPr>
          <w:rFonts w:ascii="Times New Roman" w:hAnsi="Times New Roman" w:cs="Times New Roman"/>
          <w:noProof/>
          <w:szCs w:val="24"/>
          <w:lang w:val="es-ES"/>
        </w:rPr>
        <w:t>.</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t xml:space="preserve">Cátedra Iberoamericana, .. (s.f.). </w:t>
      </w:r>
      <w:r w:rsidRPr="000B03C4">
        <w:rPr>
          <w:rFonts w:ascii="Times New Roman" w:hAnsi="Times New Roman" w:cs="Times New Roman"/>
          <w:i/>
          <w:iCs/>
          <w:noProof/>
          <w:szCs w:val="24"/>
          <w:lang w:val="es-ES"/>
        </w:rPr>
        <w:t>Análisis comparativo de la competencia de los distintos Tribunales Penales Internacionales e Internacionalizados.</w:t>
      </w:r>
      <w:r w:rsidRPr="000B03C4">
        <w:rPr>
          <w:rFonts w:ascii="Times New Roman" w:hAnsi="Times New Roman" w:cs="Times New Roman"/>
          <w:noProof/>
          <w:szCs w:val="24"/>
          <w:lang w:val="es-ES"/>
        </w:rPr>
        <w:t xml:space="preserve"> Libro electrónico: Colección Veracruz. Obtenido de http://fci.uib.es/Servicios/libros/veracruz/Fraschina/Capitulo-I--Antecedentes-Historicos..cid210830</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t xml:space="preserve">(s.f.). </w:t>
      </w:r>
      <w:r w:rsidRPr="000B03C4">
        <w:rPr>
          <w:rFonts w:ascii="Times New Roman" w:hAnsi="Times New Roman" w:cs="Times New Roman"/>
          <w:i/>
          <w:iCs/>
          <w:noProof/>
          <w:szCs w:val="24"/>
          <w:lang w:val="es-ES"/>
        </w:rPr>
        <w:t>Corte IDH, Caso de la Masacre de Mapiripán vs. Colombia, Sentencia de 15 de septiembre de 2005., Serie C No. 13, párr. 198; Corte IDH, Caso Palamara Iribarne vs. Chile, Sentencia de 22 de noviembre de 2005, Serie C No. 135, párr. 121.</w:t>
      </w:r>
      <w:r w:rsidRPr="000B03C4">
        <w:rPr>
          <w:rFonts w:ascii="Times New Roman" w:hAnsi="Times New Roman" w:cs="Times New Roman"/>
          <w:noProof/>
          <w:szCs w:val="24"/>
          <w:lang w:val="es-ES"/>
        </w:rPr>
        <w:t xml:space="preserve"> </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t xml:space="preserve">(s.f.). </w:t>
      </w:r>
      <w:r w:rsidRPr="000B03C4">
        <w:rPr>
          <w:rFonts w:ascii="Times New Roman" w:hAnsi="Times New Roman" w:cs="Times New Roman"/>
          <w:i/>
          <w:iCs/>
          <w:noProof/>
          <w:szCs w:val="24"/>
          <w:lang w:val="es-ES"/>
        </w:rPr>
        <w:t>CORTE INTERAMERICANA DE DERECHOS HUMANOS. CASO FONTEVECCHIA Y D’AMICO VS. ARGENTINA. SENTENCIA DE 29 DE NOVIEMBRE DE 2011 .</w:t>
      </w:r>
      <w:r w:rsidRPr="000B03C4">
        <w:rPr>
          <w:rFonts w:ascii="Times New Roman" w:hAnsi="Times New Roman" w:cs="Times New Roman"/>
          <w:noProof/>
          <w:szCs w:val="24"/>
          <w:lang w:val="es-ES"/>
        </w:rPr>
        <w:t xml:space="preserve"> Obtenido de http://corteidh.or.cr/docs/casos/articulos/seriec_238_esp.pdf</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t xml:space="preserve">(1948). </w:t>
      </w:r>
      <w:r w:rsidRPr="000B03C4">
        <w:rPr>
          <w:rFonts w:ascii="Times New Roman" w:hAnsi="Times New Roman" w:cs="Times New Roman"/>
          <w:i/>
          <w:iCs/>
          <w:noProof/>
          <w:szCs w:val="24"/>
          <w:lang w:val="es-ES"/>
        </w:rPr>
        <w:t>Declaración Americana de Derechos y Deberes del Hombre: resolución XI-XXXVIII . Conferencia Interamericana.</w:t>
      </w:r>
      <w:r w:rsidRPr="000B03C4">
        <w:rPr>
          <w:rFonts w:ascii="Times New Roman" w:hAnsi="Times New Roman" w:cs="Times New Roman"/>
          <w:noProof/>
          <w:szCs w:val="24"/>
          <w:lang w:val="es-ES"/>
        </w:rPr>
        <w:t xml:space="preserve"> Bogotá, Colombia.</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t xml:space="preserve">Faúndez Ledesma, H. (2004). </w:t>
      </w:r>
      <w:r w:rsidRPr="000B03C4">
        <w:rPr>
          <w:rFonts w:ascii="Times New Roman" w:hAnsi="Times New Roman" w:cs="Times New Roman"/>
          <w:i/>
          <w:iCs/>
          <w:noProof/>
          <w:szCs w:val="24"/>
          <w:lang w:val="es-ES"/>
        </w:rPr>
        <w:t>El Sistema Interamericano de Protección de los Derechos Humanos</w:t>
      </w:r>
      <w:r w:rsidRPr="000B03C4">
        <w:rPr>
          <w:rFonts w:ascii="Times New Roman" w:hAnsi="Times New Roman" w:cs="Times New Roman"/>
          <w:noProof/>
          <w:szCs w:val="24"/>
          <w:lang w:val="es-ES"/>
        </w:rPr>
        <w:t xml:space="preserve"> (Tercera ed.). San José: Instituto Interamericano de Derechos Humanos.</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lastRenderedPageBreak/>
        <w:t xml:space="preserve">Nikken, P. (s.f.). </w:t>
      </w:r>
      <w:r w:rsidRPr="000B03C4">
        <w:rPr>
          <w:rFonts w:ascii="Times New Roman" w:hAnsi="Times New Roman" w:cs="Times New Roman"/>
          <w:i/>
          <w:iCs/>
          <w:noProof/>
          <w:szCs w:val="24"/>
          <w:lang w:val="es-ES"/>
        </w:rPr>
        <w:t>Sobre el concepto de Derechos Humanos.</w:t>
      </w:r>
      <w:r w:rsidRPr="000B03C4">
        <w:rPr>
          <w:rFonts w:ascii="Times New Roman" w:hAnsi="Times New Roman" w:cs="Times New Roman"/>
          <w:noProof/>
          <w:szCs w:val="24"/>
          <w:lang w:val="es-ES"/>
        </w:rPr>
        <w:t xml:space="preserve"> Seminario sobre Derechos Humanos, Instituto Interamericano de Derechos Humanos, San José de Costa Rica. Obtenido de http://datateca.unad.edu.co/contenidos/90150/Curso_AVA/Curso_AVA_8-02/Entorno_de_Conocimiento_8-02/Bibliografia_Unidad_2/Concepto_de_Derechos_Humanos.pdf</w:t>
      </w:r>
    </w:p>
    <w:p w:rsidR="00497937" w:rsidRPr="000B03C4" w:rsidRDefault="00497937" w:rsidP="00497937">
      <w:pPr>
        <w:pStyle w:val="Bibliografa"/>
        <w:ind w:left="720" w:hanging="720"/>
        <w:rPr>
          <w:rFonts w:ascii="Times New Roman" w:hAnsi="Times New Roman" w:cs="Times New Roman"/>
          <w:noProof/>
          <w:szCs w:val="24"/>
          <w:lang w:val="es-ES"/>
        </w:rPr>
      </w:pPr>
      <w:r w:rsidRPr="000B03C4">
        <w:rPr>
          <w:rFonts w:ascii="Times New Roman" w:hAnsi="Times New Roman" w:cs="Times New Roman"/>
          <w:noProof/>
          <w:szCs w:val="24"/>
          <w:lang w:val="es-ES"/>
        </w:rPr>
        <w:t xml:space="preserve">Rodríguez Rescia, V. (2009). </w:t>
      </w:r>
      <w:r w:rsidRPr="000B03C4">
        <w:rPr>
          <w:rFonts w:ascii="Times New Roman" w:hAnsi="Times New Roman" w:cs="Times New Roman"/>
          <w:i/>
          <w:iCs/>
          <w:noProof/>
          <w:szCs w:val="24"/>
          <w:lang w:val="es-ES"/>
        </w:rPr>
        <w:t>Las sentencias de la Corte Interamericana de Derechos Humanos. Guía modelo para su lectura y análisis.</w:t>
      </w:r>
      <w:r w:rsidRPr="000B03C4">
        <w:rPr>
          <w:rFonts w:ascii="Times New Roman" w:hAnsi="Times New Roman" w:cs="Times New Roman"/>
          <w:noProof/>
          <w:szCs w:val="24"/>
          <w:lang w:val="es-ES"/>
        </w:rPr>
        <w:t xml:space="preserve"> Instituto Interamericano de Derechos Humanos, San José de Costa Rica.</w:t>
      </w:r>
    </w:p>
    <w:p w:rsidR="009B6D80" w:rsidRPr="000B03C4" w:rsidRDefault="00594F18" w:rsidP="00497937">
      <w:pPr>
        <w:rPr>
          <w:rFonts w:ascii="Times New Roman" w:hAnsi="Times New Roman" w:cs="Times New Roman"/>
          <w:szCs w:val="24"/>
        </w:rPr>
      </w:pPr>
      <w:r w:rsidRPr="000B03C4">
        <w:rPr>
          <w:rFonts w:ascii="Times New Roman" w:hAnsi="Times New Roman" w:cs="Times New Roman"/>
          <w:szCs w:val="24"/>
        </w:rPr>
        <w:fldChar w:fldCharType="end"/>
      </w:r>
    </w:p>
    <w:sectPr w:rsidR="009B6D80" w:rsidRPr="000B03C4" w:rsidSect="001874EB">
      <w:pgSz w:w="12240" w:h="15840"/>
      <w:pgMar w:top="1417" w:right="1701"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00000">
    <w:altName w:val="Times New Roman"/>
    <w:panose1 w:val="00000000000000000000"/>
    <w:charset w:val="00"/>
    <w:family w:val="roman"/>
    <w:notTrueType/>
    <w:pitch w:val="default"/>
  </w:font>
  <w:font w:name="OptimaLTStd-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C520B"/>
    <w:multiLevelType w:val="hybridMultilevel"/>
    <w:tmpl w:val="565217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C035438"/>
    <w:multiLevelType w:val="hybridMultilevel"/>
    <w:tmpl w:val="482C2D5A"/>
    <w:lvl w:ilvl="0" w:tplc="E578ECDE">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13"/>
    <w:rsid w:val="000803CA"/>
    <w:rsid w:val="000B03C4"/>
    <w:rsid w:val="00103755"/>
    <w:rsid w:val="0016272C"/>
    <w:rsid w:val="00173736"/>
    <w:rsid w:val="001753F8"/>
    <w:rsid w:val="00182911"/>
    <w:rsid w:val="001874EB"/>
    <w:rsid w:val="001F465E"/>
    <w:rsid w:val="00202D32"/>
    <w:rsid w:val="00235BC6"/>
    <w:rsid w:val="002F308B"/>
    <w:rsid w:val="00324322"/>
    <w:rsid w:val="003568D0"/>
    <w:rsid w:val="0037775D"/>
    <w:rsid w:val="003A1588"/>
    <w:rsid w:val="004460BC"/>
    <w:rsid w:val="00497937"/>
    <w:rsid w:val="004A5FB1"/>
    <w:rsid w:val="004E2D32"/>
    <w:rsid w:val="00594F18"/>
    <w:rsid w:val="006076F5"/>
    <w:rsid w:val="00687915"/>
    <w:rsid w:val="00693B13"/>
    <w:rsid w:val="006A2809"/>
    <w:rsid w:val="00785083"/>
    <w:rsid w:val="007B68D7"/>
    <w:rsid w:val="009B6D80"/>
    <w:rsid w:val="009F36C6"/>
    <w:rsid w:val="00BD3A01"/>
    <w:rsid w:val="00C11A84"/>
    <w:rsid w:val="00CE76A2"/>
    <w:rsid w:val="00D438F0"/>
    <w:rsid w:val="00D777AC"/>
    <w:rsid w:val="00DA3D46"/>
    <w:rsid w:val="00E1784F"/>
    <w:rsid w:val="00E17B04"/>
    <w:rsid w:val="00E378D6"/>
    <w:rsid w:val="00FD079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14FD3-C512-483A-B7F0-D2155051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B13"/>
    <w:pPr>
      <w:spacing w:line="360" w:lineRule="auto"/>
    </w:pPr>
    <w:rPr>
      <w:rFonts w:ascii="Arial" w:hAnsi="Arial"/>
      <w:sz w:val="24"/>
    </w:rPr>
  </w:style>
  <w:style w:type="paragraph" w:styleId="Ttulo1">
    <w:name w:val="heading 1"/>
    <w:basedOn w:val="Normal"/>
    <w:next w:val="Normal"/>
    <w:link w:val="Ttulo1Car"/>
    <w:uiPriority w:val="9"/>
    <w:qFormat/>
    <w:rsid w:val="009B6D80"/>
    <w:pPr>
      <w:keepNext/>
      <w:keepLines/>
      <w:spacing w:before="240" w:after="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4A5F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77AC"/>
    <w:rPr>
      <w:color w:val="0000FF"/>
      <w:u w:val="single"/>
    </w:rPr>
  </w:style>
  <w:style w:type="paragraph" w:customStyle="1" w:styleId="just">
    <w:name w:val="just"/>
    <w:basedOn w:val="Normal"/>
    <w:rsid w:val="00D777AC"/>
    <w:pPr>
      <w:spacing w:before="100" w:beforeAutospacing="1" w:after="100" w:afterAutospacing="1" w:line="240" w:lineRule="auto"/>
    </w:pPr>
    <w:rPr>
      <w:rFonts w:ascii="Times New Roman" w:eastAsia="Times New Roman" w:hAnsi="Times New Roman" w:cs="Times New Roman"/>
      <w:szCs w:val="24"/>
      <w:lang w:eastAsia="es-EC"/>
    </w:rPr>
  </w:style>
  <w:style w:type="character" w:customStyle="1" w:styleId="fontstyle01">
    <w:name w:val="fontstyle01"/>
    <w:basedOn w:val="Fuentedeprrafopredeter"/>
    <w:rsid w:val="002F308B"/>
    <w:rPr>
      <w:rFonts w:ascii="Courier00000" w:hAnsi="Courier00000" w:hint="default"/>
      <w:b w:val="0"/>
      <w:bCs w:val="0"/>
      <w:i w:val="0"/>
      <w:iCs w:val="0"/>
      <w:color w:val="000000"/>
      <w:sz w:val="20"/>
      <w:szCs w:val="20"/>
    </w:rPr>
  </w:style>
  <w:style w:type="character" w:customStyle="1" w:styleId="fontstyle21">
    <w:name w:val="fontstyle21"/>
    <w:basedOn w:val="Fuentedeprrafopredeter"/>
    <w:rsid w:val="003568D0"/>
    <w:rPr>
      <w:rFonts w:ascii="OptimaLTStd-Italic" w:hAnsi="OptimaLTStd-Italic" w:hint="default"/>
      <w:b w:val="0"/>
      <w:bCs w:val="0"/>
      <w:i/>
      <w:iCs/>
      <w:color w:val="231F20"/>
      <w:sz w:val="22"/>
      <w:szCs w:val="22"/>
    </w:rPr>
  </w:style>
  <w:style w:type="character" w:customStyle="1" w:styleId="Ttulo1Car">
    <w:name w:val="Título 1 Car"/>
    <w:basedOn w:val="Fuentedeprrafopredeter"/>
    <w:link w:val="Ttulo1"/>
    <w:uiPriority w:val="9"/>
    <w:rsid w:val="009B6D80"/>
    <w:rPr>
      <w:rFonts w:ascii="Arial" w:eastAsiaTheme="majorEastAsia" w:hAnsi="Arial" w:cstheme="majorBidi"/>
      <w:color w:val="2E74B5" w:themeColor="accent1" w:themeShade="BF"/>
      <w:sz w:val="28"/>
      <w:szCs w:val="32"/>
    </w:rPr>
  </w:style>
  <w:style w:type="paragraph" w:styleId="Prrafodelista">
    <w:name w:val="List Paragraph"/>
    <w:basedOn w:val="Normal"/>
    <w:uiPriority w:val="34"/>
    <w:qFormat/>
    <w:rsid w:val="009B6D80"/>
    <w:pPr>
      <w:ind w:left="720"/>
      <w:contextualSpacing/>
    </w:pPr>
  </w:style>
  <w:style w:type="paragraph" w:styleId="Bibliografa">
    <w:name w:val="Bibliography"/>
    <w:basedOn w:val="Normal"/>
    <w:next w:val="Normal"/>
    <w:uiPriority w:val="37"/>
    <w:unhideWhenUsed/>
    <w:rsid w:val="00594F18"/>
  </w:style>
  <w:style w:type="paragraph" w:styleId="NormalWeb">
    <w:name w:val="Normal (Web)"/>
    <w:basedOn w:val="Normal"/>
    <w:uiPriority w:val="99"/>
    <w:semiHidden/>
    <w:unhideWhenUsed/>
    <w:rsid w:val="00FD0799"/>
    <w:pPr>
      <w:spacing w:before="100" w:beforeAutospacing="1" w:after="100" w:afterAutospacing="1" w:line="240" w:lineRule="auto"/>
    </w:pPr>
    <w:rPr>
      <w:rFonts w:ascii="Times New Roman" w:eastAsia="Times New Roman" w:hAnsi="Times New Roman" w:cs="Times New Roman"/>
      <w:szCs w:val="24"/>
      <w:lang w:eastAsia="es-EC"/>
    </w:rPr>
  </w:style>
  <w:style w:type="character" w:customStyle="1" w:styleId="Ttulo2Car">
    <w:name w:val="Título 2 Car"/>
    <w:basedOn w:val="Fuentedeprrafopredeter"/>
    <w:link w:val="Ttulo2"/>
    <w:uiPriority w:val="9"/>
    <w:rsid w:val="004A5FB1"/>
    <w:rPr>
      <w:rFonts w:asciiTheme="majorHAnsi" w:eastAsiaTheme="majorEastAsia" w:hAnsiTheme="majorHAnsi" w:cstheme="majorBidi"/>
      <w:color w:val="2E74B5" w:themeColor="accent1" w:themeShade="BF"/>
      <w:sz w:val="26"/>
      <w:szCs w:val="26"/>
    </w:rPr>
  </w:style>
  <w:style w:type="paragraph" w:customStyle="1" w:styleId="texto">
    <w:name w:val="texto"/>
    <w:basedOn w:val="Normal"/>
    <w:rsid w:val="00BD3A01"/>
    <w:pPr>
      <w:spacing w:before="100" w:beforeAutospacing="1" w:after="100" w:afterAutospacing="1" w:line="240" w:lineRule="auto"/>
    </w:pPr>
    <w:rPr>
      <w:rFonts w:ascii="Times New Roman" w:eastAsia="Times New Roman" w:hAnsi="Times New Roman" w:cs="Times New Roman"/>
      <w:szCs w:val="24"/>
      <w:lang w:eastAsia="es-EC"/>
    </w:rPr>
  </w:style>
  <w:style w:type="paragraph" w:styleId="Sinespaciado">
    <w:name w:val="No Spacing"/>
    <w:uiPriority w:val="1"/>
    <w:qFormat/>
    <w:rsid w:val="000B03C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4738">
      <w:bodyDiv w:val="1"/>
      <w:marLeft w:val="0"/>
      <w:marRight w:val="0"/>
      <w:marTop w:val="0"/>
      <w:marBottom w:val="0"/>
      <w:divBdr>
        <w:top w:val="none" w:sz="0" w:space="0" w:color="auto"/>
        <w:left w:val="none" w:sz="0" w:space="0" w:color="auto"/>
        <w:bottom w:val="none" w:sz="0" w:space="0" w:color="auto"/>
        <w:right w:val="none" w:sz="0" w:space="0" w:color="auto"/>
      </w:divBdr>
    </w:div>
    <w:div w:id="37558853">
      <w:bodyDiv w:val="1"/>
      <w:marLeft w:val="0"/>
      <w:marRight w:val="0"/>
      <w:marTop w:val="0"/>
      <w:marBottom w:val="0"/>
      <w:divBdr>
        <w:top w:val="none" w:sz="0" w:space="0" w:color="auto"/>
        <w:left w:val="none" w:sz="0" w:space="0" w:color="auto"/>
        <w:bottom w:val="none" w:sz="0" w:space="0" w:color="auto"/>
        <w:right w:val="none" w:sz="0" w:space="0" w:color="auto"/>
      </w:divBdr>
    </w:div>
    <w:div w:id="71707355">
      <w:bodyDiv w:val="1"/>
      <w:marLeft w:val="0"/>
      <w:marRight w:val="0"/>
      <w:marTop w:val="0"/>
      <w:marBottom w:val="0"/>
      <w:divBdr>
        <w:top w:val="none" w:sz="0" w:space="0" w:color="auto"/>
        <w:left w:val="none" w:sz="0" w:space="0" w:color="auto"/>
        <w:bottom w:val="none" w:sz="0" w:space="0" w:color="auto"/>
        <w:right w:val="none" w:sz="0" w:space="0" w:color="auto"/>
      </w:divBdr>
    </w:div>
    <w:div w:id="162163865">
      <w:bodyDiv w:val="1"/>
      <w:marLeft w:val="0"/>
      <w:marRight w:val="0"/>
      <w:marTop w:val="0"/>
      <w:marBottom w:val="0"/>
      <w:divBdr>
        <w:top w:val="none" w:sz="0" w:space="0" w:color="auto"/>
        <w:left w:val="none" w:sz="0" w:space="0" w:color="auto"/>
        <w:bottom w:val="none" w:sz="0" w:space="0" w:color="auto"/>
        <w:right w:val="none" w:sz="0" w:space="0" w:color="auto"/>
      </w:divBdr>
    </w:div>
    <w:div w:id="174807376">
      <w:bodyDiv w:val="1"/>
      <w:marLeft w:val="0"/>
      <w:marRight w:val="0"/>
      <w:marTop w:val="0"/>
      <w:marBottom w:val="0"/>
      <w:divBdr>
        <w:top w:val="none" w:sz="0" w:space="0" w:color="auto"/>
        <w:left w:val="none" w:sz="0" w:space="0" w:color="auto"/>
        <w:bottom w:val="none" w:sz="0" w:space="0" w:color="auto"/>
        <w:right w:val="none" w:sz="0" w:space="0" w:color="auto"/>
      </w:divBdr>
    </w:div>
    <w:div w:id="227500210">
      <w:bodyDiv w:val="1"/>
      <w:marLeft w:val="0"/>
      <w:marRight w:val="0"/>
      <w:marTop w:val="0"/>
      <w:marBottom w:val="0"/>
      <w:divBdr>
        <w:top w:val="none" w:sz="0" w:space="0" w:color="auto"/>
        <w:left w:val="none" w:sz="0" w:space="0" w:color="auto"/>
        <w:bottom w:val="none" w:sz="0" w:space="0" w:color="auto"/>
        <w:right w:val="none" w:sz="0" w:space="0" w:color="auto"/>
      </w:divBdr>
    </w:div>
    <w:div w:id="269822246">
      <w:bodyDiv w:val="1"/>
      <w:marLeft w:val="0"/>
      <w:marRight w:val="0"/>
      <w:marTop w:val="0"/>
      <w:marBottom w:val="0"/>
      <w:divBdr>
        <w:top w:val="none" w:sz="0" w:space="0" w:color="auto"/>
        <w:left w:val="none" w:sz="0" w:space="0" w:color="auto"/>
        <w:bottom w:val="none" w:sz="0" w:space="0" w:color="auto"/>
        <w:right w:val="none" w:sz="0" w:space="0" w:color="auto"/>
      </w:divBdr>
    </w:div>
    <w:div w:id="336615790">
      <w:bodyDiv w:val="1"/>
      <w:marLeft w:val="0"/>
      <w:marRight w:val="0"/>
      <w:marTop w:val="0"/>
      <w:marBottom w:val="0"/>
      <w:divBdr>
        <w:top w:val="none" w:sz="0" w:space="0" w:color="auto"/>
        <w:left w:val="none" w:sz="0" w:space="0" w:color="auto"/>
        <w:bottom w:val="none" w:sz="0" w:space="0" w:color="auto"/>
        <w:right w:val="none" w:sz="0" w:space="0" w:color="auto"/>
      </w:divBdr>
    </w:div>
    <w:div w:id="422185267">
      <w:bodyDiv w:val="1"/>
      <w:marLeft w:val="0"/>
      <w:marRight w:val="0"/>
      <w:marTop w:val="0"/>
      <w:marBottom w:val="0"/>
      <w:divBdr>
        <w:top w:val="none" w:sz="0" w:space="0" w:color="auto"/>
        <w:left w:val="none" w:sz="0" w:space="0" w:color="auto"/>
        <w:bottom w:val="none" w:sz="0" w:space="0" w:color="auto"/>
        <w:right w:val="none" w:sz="0" w:space="0" w:color="auto"/>
      </w:divBdr>
    </w:div>
    <w:div w:id="504711720">
      <w:bodyDiv w:val="1"/>
      <w:marLeft w:val="0"/>
      <w:marRight w:val="0"/>
      <w:marTop w:val="0"/>
      <w:marBottom w:val="0"/>
      <w:divBdr>
        <w:top w:val="none" w:sz="0" w:space="0" w:color="auto"/>
        <w:left w:val="none" w:sz="0" w:space="0" w:color="auto"/>
        <w:bottom w:val="none" w:sz="0" w:space="0" w:color="auto"/>
        <w:right w:val="none" w:sz="0" w:space="0" w:color="auto"/>
      </w:divBdr>
    </w:div>
    <w:div w:id="574902382">
      <w:bodyDiv w:val="1"/>
      <w:marLeft w:val="0"/>
      <w:marRight w:val="0"/>
      <w:marTop w:val="0"/>
      <w:marBottom w:val="0"/>
      <w:divBdr>
        <w:top w:val="none" w:sz="0" w:space="0" w:color="auto"/>
        <w:left w:val="none" w:sz="0" w:space="0" w:color="auto"/>
        <w:bottom w:val="none" w:sz="0" w:space="0" w:color="auto"/>
        <w:right w:val="none" w:sz="0" w:space="0" w:color="auto"/>
      </w:divBdr>
    </w:div>
    <w:div w:id="625740824">
      <w:bodyDiv w:val="1"/>
      <w:marLeft w:val="0"/>
      <w:marRight w:val="0"/>
      <w:marTop w:val="0"/>
      <w:marBottom w:val="0"/>
      <w:divBdr>
        <w:top w:val="none" w:sz="0" w:space="0" w:color="auto"/>
        <w:left w:val="none" w:sz="0" w:space="0" w:color="auto"/>
        <w:bottom w:val="none" w:sz="0" w:space="0" w:color="auto"/>
        <w:right w:val="none" w:sz="0" w:space="0" w:color="auto"/>
      </w:divBdr>
    </w:div>
    <w:div w:id="677120690">
      <w:bodyDiv w:val="1"/>
      <w:marLeft w:val="0"/>
      <w:marRight w:val="0"/>
      <w:marTop w:val="0"/>
      <w:marBottom w:val="0"/>
      <w:divBdr>
        <w:top w:val="none" w:sz="0" w:space="0" w:color="auto"/>
        <w:left w:val="none" w:sz="0" w:space="0" w:color="auto"/>
        <w:bottom w:val="none" w:sz="0" w:space="0" w:color="auto"/>
        <w:right w:val="none" w:sz="0" w:space="0" w:color="auto"/>
      </w:divBdr>
    </w:div>
    <w:div w:id="776291206">
      <w:bodyDiv w:val="1"/>
      <w:marLeft w:val="0"/>
      <w:marRight w:val="0"/>
      <w:marTop w:val="0"/>
      <w:marBottom w:val="0"/>
      <w:divBdr>
        <w:top w:val="none" w:sz="0" w:space="0" w:color="auto"/>
        <w:left w:val="none" w:sz="0" w:space="0" w:color="auto"/>
        <w:bottom w:val="none" w:sz="0" w:space="0" w:color="auto"/>
        <w:right w:val="none" w:sz="0" w:space="0" w:color="auto"/>
      </w:divBdr>
    </w:div>
    <w:div w:id="816995554">
      <w:bodyDiv w:val="1"/>
      <w:marLeft w:val="0"/>
      <w:marRight w:val="0"/>
      <w:marTop w:val="0"/>
      <w:marBottom w:val="0"/>
      <w:divBdr>
        <w:top w:val="none" w:sz="0" w:space="0" w:color="auto"/>
        <w:left w:val="none" w:sz="0" w:space="0" w:color="auto"/>
        <w:bottom w:val="none" w:sz="0" w:space="0" w:color="auto"/>
        <w:right w:val="none" w:sz="0" w:space="0" w:color="auto"/>
      </w:divBdr>
    </w:div>
    <w:div w:id="833305805">
      <w:bodyDiv w:val="1"/>
      <w:marLeft w:val="0"/>
      <w:marRight w:val="0"/>
      <w:marTop w:val="0"/>
      <w:marBottom w:val="0"/>
      <w:divBdr>
        <w:top w:val="none" w:sz="0" w:space="0" w:color="auto"/>
        <w:left w:val="none" w:sz="0" w:space="0" w:color="auto"/>
        <w:bottom w:val="none" w:sz="0" w:space="0" w:color="auto"/>
        <w:right w:val="none" w:sz="0" w:space="0" w:color="auto"/>
      </w:divBdr>
    </w:div>
    <w:div w:id="848255066">
      <w:bodyDiv w:val="1"/>
      <w:marLeft w:val="0"/>
      <w:marRight w:val="0"/>
      <w:marTop w:val="0"/>
      <w:marBottom w:val="0"/>
      <w:divBdr>
        <w:top w:val="none" w:sz="0" w:space="0" w:color="auto"/>
        <w:left w:val="none" w:sz="0" w:space="0" w:color="auto"/>
        <w:bottom w:val="none" w:sz="0" w:space="0" w:color="auto"/>
        <w:right w:val="none" w:sz="0" w:space="0" w:color="auto"/>
      </w:divBdr>
    </w:div>
    <w:div w:id="879781235">
      <w:bodyDiv w:val="1"/>
      <w:marLeft w:val="0"/>
      <w:marRight w:val="0"/>
      <w:marTop w:val="0"/>
      <w:marBottom w:val="0"/>
      <w:divBdr>
        <w:top w:val="none" w:sz="0" w:space="0" w:color="auto"/>
        <w:left w:val="none" w:sz="0" w:space="0" w:color="auto"/>
        <w:bottom w:val="none" w:sz="0" w:space="0" w:color="auto"/>
        <w:right w:val="none" w:sz="0" w:space="0" w:color="auto"/>
      </w:divBdr>
    </w:div>
    <w:div w:id="894968663">
      <w:bodyDiv w:val="1"/>
      <w:marLeft w:val="0"/>
      <w:marRight w:val="0"/>
      <w:marTop w:val="0"/>
      <w:marBottom w:val="0"/>
      <w:divBdr>
        <w:top w:val="none" w:sz="0" w:space="0" w:color="auto"/>
        <w:left w:val="none" w:sz="0" w:space="0" w:color="auto"/>
        <w:bottom w:val="none" w:sz="0" w:space="0" w:color="auto"/>
        <w:right w:val="none" w:sz="0" w:space="0" w:color="auto"/>
      </w:divBdr>
    </w:div>
    <w:div w:id="932131355">
      <w:bodyDiv w:val="1"/>
      <w:marLeft w:val="0"/>
      <w:marRight w:val="0"/>
      <w:marTop w:val="0"/>
      <w:marBottom w:val="0"/>
      <w:divBdr>
        <w:top w:val="none" w:sz="0" w:space="0" w:color="auto"/>
        <w:left w:val="none" w:sz="0" w:space="0" w:color="auto"/>
        <w:bottom w:val="none" w:sz="0" w:space="0" w:color="auto"/>
        <w:right w:val="none" w:sz="0" w:space="0" w:color="auto"/>
      </w:divBdr>
    </w:div>
    <w:div w:id="1004164490">
      <w:bodyDiv w:val="1"/>
      <w:marLeft w:val="0"/>
      <w:marRight w:val="0"/>
      <w:marTop w:val="0"/>
      <w:marBottom w:val="0"/>
      <w:divBdr>
        <w:top w:val="none" w:sz="0" w:space="0" w:color="auto"/>
        <w:left w:val="none" w:sz="0" w:space="0" w:color="auto"/>
        <w:bottom w:val="none" w:sz="0" w:space="0" w:color="auto"/>
        <w:right w:val="none" w:sz="0" w:space="0" w:color="auto"/>
      </w:divBdr>
    </w:div>
    <w:div w:id="1162085837">
      <w:bodyDiv w:val="1"/>
      <w:marLeft w:val="0"/>
      <w:marRight w:val="0"/>
      <w:marTop w:val="0"/>
      <w:marBottom w:val="0"/>
      <w:divBdr>
        <w:top w:val="none" w:sz="0" w:space="0" w:color="auto"/>
        <w:left w:val="none" w:sz="0" w:space="0" w:color="auto"/>
        <w:bottom w:val="none" w:sz="0" w:space="0" w:color="auto"/>
        <w:right w:val="none" w:sz="0" w:space="0" w:color="auto"/>
      </w:divBdr>
    </w:div>
    <w:div w:id="1183982477">
      <w:bodyDiv w:val="1"/>
      <w:marLeft w:val="0"/>
      <w:marRight w:val="0"/>
      <w:marTop w:val="0"/>
      <w:marBottom w:val="0"/>
      <w:divBdr>
        <w:top w:val="none" w:sz="0" w:space="0" w:color="auto"/>
        <w:left w:val="none" w:sz="0" w:space="0" w:color="auto"/>
        <w:bottom w:val="none" w:sz="0" w:space="0" w:color="auto"/>
        <w:right w:val="none" w:sz="0" w:space="0" w:color="auto"/>
      </w:divBdr>
    </w:div>
    <w:div w:id="1188831239">
      <w:bodyDiv w:val="1"/>
      <w:marLeft w:val="0"/>
      <w:marRight w:val="0"/>
      <w:marTop w:val="0"/>
      <w:marBottom w:val="0"/>
      <w:divBdr>
        <w:top w:val="none" w:sz="0" w:space="0" w:color="auto"/>
        <w:left w:val="none" w:sz="0" w:space="0" w:color="auto"/>
        <w:bottom w:val="none" w:sz="0" w:space="0" w:color="auto"/>
        <w:right w:val="none" w:sz="0" w:space="0" w:color="auto"/>
      </w:divBdr>
    </w:div>
    <w:div w:id="1266885276">
      <w:bodyDiv w:val="1"/>
      <w:marLeft w:val="0"/>
      <w:marRight w:val="0"/>
      <w:marTop w:val="0"/>
      <w:marBottom w:val="0"/>
      <w:divBdr>
        <w:top w:val="none" w:sz="0" w:space="0" w:color="auto"/>
        <w:left w:val="none" w:sz="0" w:space="0" w:color="auto"/>
        <w:bottom w:val="none" w:sz="0" w:space="0" w:color="auto"/>
        <w:right w:val="none" w:sz="0" w:space="0" w:color="auto"/>
      </w:divBdr>
    </w:div>
    <w:div w:id="1281687610">
      <w:bodyDiv w:val="1"/>
      <w:marLeft w:val="0"/>
      <w:marRight w:val="0"/>
      <w:marTop w:val="0"/>
      <w:marBottom w:val="0"/>
      <w:divBdr>
        <w:top w:val="none" w:sz="0" w:space="0" w:color="auto"/>
        <w:left w:val="none" w:sz="0" w:space="0" w:color="auto"/>
        <w:bottom w:val="none" w:sz="0" w:space="0" w:color="auto"/>
        <w:right w:val="none" w:sz="0" w:space="0" w:color="auto"/>
      </w:divBdr>
    </w:div>
    <w:div w:id="1295020089">
      <w:bodyDiv w:val="1"/>
      <w:marLeft w:val="0"/>
      <w:marRight w:val="0"/>
      <w:marTop w:val="0"/>
      <w:marBottom w:val="0"/>
      <w:divBdr>
        <w:top w:val="none" w:sz="0" w:space="0" w:color="auto"/>
        <w:left w:val="none" w:sz="0" w:space="0" w:color="auto"/>
        <w:bottom w:val="none" w:sz="0" w:space="0" w:color="auto"/>
        <w:right w:val="none" w:sz="0" w:space="0" w:color="auto"/>
      </w:divBdr>
    </w:div>
    <w:div w:id="1547833953">
      <w:bodyDiv w:val="1"/>
      <w:marLeft w:val="0"/>
      <w:marRight w:val="0"/>
      <w:marTop w:val="0"/>
      <w:marBottom w:val="0"/>
      <w:divBdr>
        <w:top w:val="none" w:sz="0" w:space="0" w:color="auto"/>
        <w:left w:val="none" w:sz="0" w:space="0" w:color="auto"/>
        <w:bottom w:val="none" w:sz="0" w:space="0" w:color="auto"/>
        <w:right w:val="none" w:sz="0" w:space="0" w:color="auto"/>
      </w:divBdr>
    </w:div>
    <w:div w:id="1563708227">
      <w:bodyDiv w:val="1"/>
      <w:marLeft w:val="0"/>
      <w:marRight w:val="0"/>
      <w:marTop w:val="0"/>
      <w:marBottom w:val="0"/>
      <w:divBdr>
        <w:top w:val="none" w:sz="0" w:space="0" w:color="auto"/>
        <w:left w:val="none" w:sz="0" w:space="0" w:color="auto"/>
        <w:bottom w:val="none" w:sz="0" w:space="0" w:color="auto"/>
        <w:right w:val="none" w:sz="0" w:space="0" w:color="auto"/>
      </w:divBdr>
    </w:div>
    <w:div w:id="1567061541">
      <w:bodyDiv w:val="1"/>
      <w:marLeft w:val="0"/>
      <w:marRight w:val="0"/>
      <w:marTop w:val="0"/>
      <w:marBottom w:val="0"/>
      <w:divBdr>
        <w:top w:val="none" w:sz="0" w:space="0" w:color="auto"/>
        <w:left w:val="none" w:sz="0" w:space="0" w:color="auto"/>
        <w:bottom w:val="none" w:sz="0" w:space="0" w:color="auto"/>
        <w:right w:val="none" w:sz="0" w:space="0" w:color="auto"/>
      </w:divBdr>
    </w:div>
    <w:div w:id="1744404113">
      <w:bodyDiv w:val="1"/>
      <w:marLeft w:val="0"/>
      <w:marRight w:val="0"/>
      <w:marTop w:val="0"/>
      <w:marBottom w:val="0"/>
      <w:divBdr>
        <w:top w:val="none" w:sz="0" w:space="0" w:color="auto"/>
        <w:left w:val="none" w:sz="0" w:space="0" w:color="auto"/>
        <w:bottom w:val="none" w:sz="0" w:space="0" w:color="auto"/>
        <w:right w:val="none" w:sz="0" w:space="0" w:color="auto"/>
      </w:divBdr>
    </w:div>
    <w:div w:id="1763070348">
      <w:bodyDiv w:val="1"/>
      <w:marLeft w:val="0"/>
      <w:marRight w:val="0"/>
      <w:marTop w:val="0"/>
      <w:marBottom w:val="0"/>
      <w:divBdr>
        <w:top w:val="none" w:sz="0" w:space="0" w:color="auto"/>
        <w:left w:val="none" w:sz="0" w:space="0" w:color="auto"/>
        <w:bottom w:val="none" w:sz="0" w:space="0" w:color="auto"/>
        <w:right w:val="none" w:sz="0" w:space="0" w:color="auto"/>
      </w:divBdr>
    </w:div>
    <w:div w:id="1832524490">
      <w:bodyDiv w:val="1"/>
      <w:marLeft w:val="0"/>
      <w:marRight w:val="0"/>
      <w:marTop w:val="0"/>
      <w:marBottom w:val="0"/>
      <w:divBdr>
        <w:top w:val="none" w:sz="0" w:space="0" w:color="auto"/>
        <w:left w:val="none" w:sz="0" w:space="0" w:color="auto"/>
        <w:bottom w:val="none" w:sz="0" w:space="0" w:color="auto"/>
        <w:right w:val="none" w:sz="0" w:space="0" w:color="auto"/>
      </w:divBdr>
    </w:div>
    <w:div w:id="1983346830">
      <w:bodyDiv w:val="1"/>
      <w:marLeft w:val="0"/>
      <w:marRight w:val="0"/>
      <w:marTop w:val="0"/>
      <w:marBottom w:val="0"/>
      <w:divBdr>
        <w:top w:val="none" w:sz="0" w:space="0" w:color="auto"/>
        <w:left w:val="none" w:sz="0" w:space="0" w:color="auto"/>
        <w:bottom w:val="none" w:sz="0" w:space="0" w:color="auto"/>
        <w:right w:val="none" w:sz="0" w:space="0" w:color="auto"/>
      </w:divBdr>
    </w:div>
    <w:div w:id="2001351676">
      <w:bodyDiv w:val="1"/>
      <w:marLeft w:val="0"/>
      <w:marRight w:val="0"/>
      <w:marTop w:val="0"/>
      <w:marBottom w:val="0"/>
      <w:divBdr>
        <w:top w:val="none" w:sz="0" w:space="0" w:color="auto"/>
        <w:left w:val="none" w:sz="0" w:space="0" w:color="auto"/>
        <w:bottom w:val="none" w:sz="0" w:space="0" w:color="auto"/>
        <w:right w:val="none" w:sz="0" w:space="0" w:color="auto"/>
      </w:divBdr>
    </w:div>
    <w:div w:id="2026665376">
      <w:bodyDiv w:val="1"/>
      <w:marLeft w:val="0"/>
      <w:marRight w:val="0"/>
      <w:marTop w:val="0"/>
      <w:marBottom w:val="0"/>
      <w:divBdr>
        <w:top w:val="none" w:sz="0" w:space="0" w:color="auto"/>
        <w:left w:val="none" w:sz="0" w:space="0" w:color="auto"/>
        <w:bottom w:val="none" w:sz="0" w:space="0" w:color="auto"/>
        <w:right w:val="none" w:sz="0" w:space="0" w:color="auto"/>
      </w:divBdr>
    </w:div>
    <w:div w:id="2067071675">
      <w:bodyDiv w:val="1"/>
      <w:marLeft w:val="0"/>
      <w:marRight w:val="0"/>
      <w:marTop w:val="0"/>
      <w:marBottom w:val="0"/>
      <w:divBdr>
        <w:top w:val="none" w:sz="0" w:space="0" w:color="auto"/>
        <w:left w:val="none" w:sz="0" w:space="0" w:color="auto"/>
        <w:bottom w:val="none" w:sz="0" w:space="0" w:color="auto"/>
        <w:right w:val="none" w:sz="0" w:space="0" w:color="auto"/>
      </w:divBdr>
    </w:div>
    <w:div w:id="2093622234">
      <w:bodyDiv w:val="1"/>
      <w:marLeft w:val="0"/>
      <w:marRight w:val="0"/>
      <w:marTop w:val="0"/>
      <w:marBottom w:val="0"/>
      <w:divBdr>
        <w:top w:val="none" w:sz="0" w:space="0" w:color="auto"/>
        <w:left w:val="none" w:sz="0" w:space="0" w:color="auto"/>
        <w:bottom w:val="none" w:sz="0" w:space="0" w:color="auto"/>
        <w:right w:val="none" w:sz="0" w:space="0" w:color="auto"/>
      </w:divBdr>
    </w:div>
    <w:div w:id="21042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onzalez@sangregorio.edu.ec" TargetMode="External"/><Relationship Id="rId3" Type="http://schemas.openxmlformats.org/officeDocument/2006/relationships/styles" Target="styles.xml"/><Relationship Id="rId7" Type="http://schemas.openxmlformats.org/officeDocument/2006/relationships/hyperlink" Target="mailto:dffarfan@sangregorio.edu.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fdiaz@sangregorio.edu.e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Cát</b:Tag>
    <b:SourceType>Book</b:SourceType>
    <b:Guid>{3763D3CA-3D99-46AA-B7FC-623C0C1F4C84}</b:Guid>
    <b:Author>
      <b:Author>
        <b:NameList>
          <b:Person>
            <b:Last>Cátedra Iberoamericana</b:Last>
            <b:First>.</b:First>
          </b:Person>
        </b:NameList>
      </b:Author>
    </b:Author>
    <b:Title>Análisis comparativo de la competencia de los distintos Tribunales Penales Internacionales e Internacionalizados</b:Title>
    <b:City>Libro electrónico</b:City>
    <b:Publisher>Colección Veracruz</b:Publisher>
    <b:URL>http://fci.uib.es/Servicios/libros/veracruz/Fraschina/Capitulo-I--Antecedentes-Historicos..cid210830</b:URL>
    <b:RefOrder>1</b:RefOrder>
  </b:Source>
  <b:Source>
    <b:Tag>Bas67</b:Tag>
    <b:SourceType>JournalArticle</b:SourceType>
    <b:Guid>{7C519EA1-0D73-48F8-B305-2569724ABFC1}</b:Guid>
    <b:Author>
      <b:Author>
        <b:NameList>
          <b:Person>
            <b:Last>Bassiouni</b:Last>
            <b:First>Cheriff</b:First>
          </b:Person>
        </b:NameList>
      </b:Author>
    </b:Author>
    <b:Year>1967</b:Year>
    <b:Title>El Derecho penal internacional: Historia, objeto y contenido.</b:Title>
    <b:JournalName>Education</b:JournalName>
    <b:Volume>127</b:Volume>
    <b:RefOrder>3</b:RefOrder>
  </b:Source>
  <b:Source>
    <b:Tag>Faú04</b:Tag>
    <b:SourceType>Book</b:SourceType>
    <b:Guid>{5A8F5E57-6413-4C5C-A45E-EF3C2AC79A0E}</b:Guid>
    <b:Title>El Sistema Interamericano de Protección de los Derechos Humanos</b:Title>
    <b:Year>2004</b:Year>
    <b:Author>
      <b:Author>
        <b:NameList>
          <b:Person>
            <b:Last>Faúndez Ledesma</b:Last>
            <b:First>Héctor</b:First>
          </b:Person>
        </b:NameList>
      </b:Author>
    </b:Author>
    <b:City>San José</b:City>
    <b:Publisher>Instituto Interamericano de Derechos Humanos</b:Publisher>
    <b:Edition>Tercera</b:Edition>
    <b:RefOrder>5</b:RefOrder>
  </b:Source>
  <b:Source>
    <b:Tag>Nik</b:Tag>
    <b:SourceType>Report</b:SourceType>
    <b:Guid>{61158C7D-7B98-4F2B-9C08-6E6916CFF8A5}</b:Guid>
    <b:Title>Sobre el concepto de Derechos Humanos</b:Title>
    <b:City>San José de Costa Rica</b:City>
    <b:Author>
      <b:Author>
        <b:NameList>
          <b:Person>
            <b:Last>Nikken</b:Last>
            <b:First>Pedro</b:First>
          </b:Person>
        </b:NameList>
      </b:Author>
    </b:Author>
    <b:Institution>Instituto Interamericano de Derechos Humanos</b:Institution>
    <b:ThesisType>Seminario sobre Derechos Humanos</b:ThesisType>
    <b:URL>http://datateca.unad.edu.co/contenidos/90150/Curso_AVA/Curso_AVA_8-02/Entorno_de_Conocimiento_8-02/Bibliografia_Unidad_2/Concepto_de_Derechos_Humanos.pdf</b:URL>
    <b:RefOrder>6</b:RefOrder>
  </b:Source>
  <b:Source>
    <b:Tag>Dec48</b:Tag>
    <b:SourceType>Report</b:SourceType>
    <b:Guid>{DFE22871-D1FE-47AD-9ED9-7CE9BC00E2B3}</b:Guid>
    <b:Title>Declaración Americana de Derechos y Deberes del Hombre: resolución XI-XXXVIII . Conferencia Interamericana</b:Title>
    <b:Year>1948</b:Year>
    <b:City>Bogotá, Colombia</b:City>
    <b:RefOrder>4</b:RefOrder>
  </b:Source>
  <b:Source>
    <b:Tag>Cor</b:Tag>
    <b:SourceType>Report</b:SourceType>
    <b:Guid>{98008D75-E64C-4458-9F7D-8C8DC99F7AA5}</b:Guid>
    <b:Title>Corte IDH, Caso de la Masacre de Mapiripán vs. Colombia, Sentencia de 15 de septiembre de 2005., Serie C No. 13, párr. 198; Corte IDH, Caso Palamara Iribarne vs. Chile, Sentencia de 22 de noviembre de 2005, Serie C No. 135, párr. 121.</b:Title>
    <b:RefOrder>7</b:RefOrder>
  </b:Source>
  <b:Source>
    <b:Tag>Rod09</b:Tag>
    <b:SourceType>Report</b:SourceType>
    <b:Guid>{8FDA5A66-B2D9-4877-86FD-A2FF10A9215C}</b:Guid>
    <b:Title>Las sentencias de la Corte Interamericana de Derechos Humanos. Guía modelo para su lectura y análisis</b:Title>
    <b:Year>2009</b:Year>
    <b:City>San José de Costa Rica</b:City>
    <b:Author>
      <b:Author>
        <b:NameList>
          <b:Person>
            <b:Last>Rodríguez Rescia</b:Last>
            <b:First>Víctor</b:First>
          </b:Person>
        </b:NameList>
      </b:Author>
    </b:Author>
    <b:Institution>Instituto Interamericano de Derechos Humanos</b:Institution>
    <b:RefOrder>8</b:RefOrder>
  </b:Source>
  <b:Source>
    <b:Tag>htt1</b:Tag>
    <b:SourceType>DocumentFromInternetSite</b:SourceType>
    <b:Guid>{2C4AD88A-D5A5-4E63-AD48-AC54E67EE8D7}</b:Guid>
    <b:URL>http://www.observatori.org/paises/pais_57/documentos/Ruanda.pdf</b:URL>
    <b:Author>
      <b:Author>
        <b:NameList>
          <b:Person>
            <b:First>.</b:First>
          </b:Person>
        </b:NameList>
      </b:Author>
    </b:Author>
    <b:RefOrder>2</b:RefOrder>
  </b:Source>
  <b:Source>
    <b:Tag>COR</b:Tag>
    <b:SourceType>Report</b:SourceType>
    <b:Guid>{E75EF355-9752-46B3-9F23-6796634BCBC0}</b:Guid>
    <b:Title>Corte Interamericana de Derechos Humanos.  Caso Fontevecchia Y D’Amico vs. Argentina. Sentencia de 29 de noviembre de 2011</b:Title>
    <b:URL>http://corteidh.or.cr/docs/casos/articulos/seriec_238_esp.pdf</b:URL>
    <b:RefOrder>9</b:RefOrder>
  </b:Source>
  <b:Source>
    <b:Tag>Mén14</b:Tag>
    <b:SourceType>JournalArticle</b:SourceType>
    <b:Guid>{4A843213-F0D6-457D-A96A-ABD5BC291D2A}</b:Guid>
    <b:Title>Impacto de las sentencias de la Corte Interamericana de Derechos Humanos.</b:Title>
    <b:Year>2014</b:Year>
    <b:JournalName>Boletín mexicano de derecho comparado</b:JournalName>
    <b:Pages>733-740</b:Pages>
    <b:Author>
      <b:Author>
        <b:NameList>
          <b:Person>
            <b:Last>Méndez Silva</b:Last>
            <b:First>R.</b:First>
          </b:Person>
        </b:NameList>
      </b:Author>
    </b:Author>
    <b:Volume>47</b:Volume>
    <b:Issue>140</b:Issue>
    <b:RefOrder>10</b:RefOrder>
  </b:Source>
  <b:Source>
    <b:Tag>Jus16</b:Tag>
    <b:SourceType>ArticleInAPeriodical</b:SourceType>
    <b:Guid>{44D3E071-EAF2-4AAD-ACF0-A0C7A042FFCB}</b:Guid>
    <b:Title>Avances del Ecuador en derechos humanos destacan en sesión de Corte Interamericana</b:Title>
    <b:Year>2016</b:Year>
    <b:Author>
      <b:Author>
        <b:NameList>
          <b:Person>
            <b:Last>Justicia</b:Last>
            <b:First>Redacción</b:First>
          </b:Person>
        </b:NameList>
      </b:Author>
    </b:Author>
    <b:PeriodicalTitle>El Telégrafo</b:PeriodicalTitle>
    <b:Month>Octubre</b:Month>
    <b:Day>11</b:Day>
    <b:URL>http://www.eltelegrafo.com.ec/noticias/judicial/13/avances-del-ecuador-en-derechos-humanos-destacan-en-sesion-de-corte-interamericana</b:URL>
    <b:RefOrder>11</b:RefOrder>
  </b:Source>
  <b:Source>
    <b:Tag>LaC08</b:Tag>
    <b:SourceType>JournalArticle</b:SourceType>
    <b:Guid>{732DFAEE-A965-48A0-9134-A29EA7208781}</b:Guid>
    <b:Title>La Comisión Nacional de los Derechos Humanos de México. La Comisión Nacional de los Derechos Humanos de México</b:Title>
    <b:Year>2008</b:Year>
    <b:Volume>20</b:Volume>
    <b:Issue>1 (B)</b:Issue>
    <b:RefOrder>12</b:RefOrder>
  </b:Source>
  <b:Source>
    <b:Tag>Nog17</b:Tag>
    <b:SourceType>JournalArticle</b:SourceType>
    <b:Guid>{B5CAFA53-AC92-43C6-8EBD-9876E4E1E3FF}</b:Guid>
    <b:Author>
      <b:Author>
        <b:NameList>
          <b:Person>
            <b:Last>Nogueira Alcalá</b:Last>
            <b:First>Humberto</b:First>
          </b:Person>
        </b:NameList>
      </b:Author>
    </b:Author>
    <b:Title>EL CONTROL DE CONVENCIONALIDAD Y EL DIÁLOGO INTERJURISDICCIONAL ENTRE TRIBUNALES NACIONALES Y CORTE INTERAMERICANA DE DERECHOS HUMANOS[1]</b:Title>
    <b:JournalName>ReDCE</b:JournalName>
    <b:Year>2017</b:Year>
    <b:Issue>19</b:Issue>
    <b:URL>http://www.ugr.es/~redce/REDCE19/articulos/08_NOGUEIRA.htm</b:URL>
    <b:RefOrder>13</b:RefOrder>
  </b:Source>
</b:Sources>
</file>

<file path=customXml/itemProps1.xml><?xml version="1.0" encoding="utf-8"?>
<ds:datastoreItem xmlns:ds="http://schemas.openxmlformats.org/officeDocument/2006/customXml" ds:itemID="{E4E9919F-9466-4E98-9276-6A9CACE5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4382</Words>
  <Characters>24104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Yanet López</dc:creator>
  <cp:keywords/>
  <dc:description/>
  <cp:lastModifiedBy>brenner fabian diaz rodriguez</cp:lastModifiedBy>
  <cp:revision>3</cp:revision>
  <dcterms:created xsi:type="dcterms:W3CDTF">2019-01-18T17:05:00Z</dcterms:created>
  <dcterms:modified xsi:type="dcterms:W3CDTF">2019-01-18T17:20:00Z</dcterms:modified>
</cp:coreProperties>
</file>