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3B34" w14:textId="77777777" w:rsidR="00B773F1" w:rsidRDefault="00B773F1" w:rsidP="00B773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D60">
        <w:rPr>
          <w:rFonts w:ascii="Times New Roman" w:hAnsi="Times New Roman" w:cs="Times New Roman"/>
          <w:b/>
          <w:sz w:val="24"/>
          <w:szCs w:val="24"/>
        </w:rPr>
        <w:t>Tabla 1:</w:t>
      </w:r>
      <w:r w:rsidRPr="0074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Estrategias financieras de Gestión de Riesgos </w:t>
      </w:r>
    </w:p>
    <w:tbl>
      <w:tblPr>
        <w:tblStyle w:val="Sombreadoclaro1"/>
        <w:tblW w:w="5077" w:type="pct"/>
        <w:tblLayout w:type="fixed"/>
        <w:tblLook w:val="04A0" w:firstRow="1" w:lastRow="0" w:firstColumn="1" w:lastColumn="0" w:noHBand="0" w:noVBand="1"/>
      </w:tblPr>
      <w:tblGrid>
        <w:gridCol w:w="798"/>
        <w:gridCol w:w="1611"/>
        <w:gridCol w:w="2267"/>
        <w:gridCol w:w="27"/>
        <w:gridCol w:w="2528"/>
        <w:gridCol w:w="282"/>
        <w:gridCol w:w="1652"/>
      </w:tblGrid>
      <w:tr w:rsidR="00B773F1" w:rsidRPr="008B79AA" w14:paraId="0BC3220B" w14:textId="77777777" w:rsidTr="005B0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FF33" w14:textId="77777777" w:rsidR="00B773F1" w:rsidRPr="00AF0947" w:rsidRDefault="00B773F1" w:rsidP="00B773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AF0947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Colombia</w:t>
            </w:r>
          </w:p>
        </w:tc>
      </w:tr>
      <w:tr w:rsidR="00B773F1" w:rsidRPr="008B79AA" w14:paraId="6E8E6BD0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C3A8" w14:textId="77777777" w:rsidR="00B773F1" w:rsidRPr="008B79A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Año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DEB2" w14:textId="77777777" w:rsidR="00B773F1" w:rsidRPr="008B79A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  <w:t>Estrategia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2444" w14:textId="77777777" w:rsidR="00B773F1" w:rsidRPr="008B79A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  <w:t>Objetivo</w:t>
            </w: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F0C3" w14:textId="77777777" w:rsidR="00B773F1" w:rsidRPr="008B79A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  <w:t>Instrumentos financieros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3B30" w14:textId="77777777" w:rsidR="00B773F1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  <w:t>Fuente:</w:t>
            </w:r>
          </w:p>
        </w:tc>
      </w:tr>
      <w:tr w:rsidR="00B773F1" w:rsidRPr="008B79AA" w14:paraId="11F8829D" w14:textId="77777777" w:rsidTr="005B08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8CB006C" w14:textId="77777777" w:rsidR="00B773F1" w:rsidRPr="008B79A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87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EDC24CC" w14:textId="77777777" w:rsidR="00B773F1" w:rsidRPr="008B79A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5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E7C7FB9" w14:textId="77777777" w:rsidR="00B773F1" w:rsidRPr="008B79A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37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3CBF57" w14:textId="77777777" w:rsidR="00B773F1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852C11" w14:textId="77777777" w:rsidR="00B773F1" w:rsidRDefault="00B773F1" w:rsidP="005B0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 w:eastAsia="es-ES"/>
              </w:rPr>
            </w:pPr>
          </w:p>
        </w:tc>
      </w:tr>
      <w:tr w:rsidR="00B773F1" w:rsidRPr="008B79AA" w14:paraId="1973F20B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CDF" w14:textId="77777777" w:rsidR="00B773F1" w:rsidRPr="008B79A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2010-2014</w:t>
            </w: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86473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Estrategia de política de gestión financiera pública ante el riesgo de desastres por fenómenos de la naturaleza</w:t>
            </w:r>
          </w:p>
        </w:tc>
        <w:tc>
          <w:tcPr>
            <w:tcW w:w="125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928DE2" w14:textId="77777777" w:rsidR="00B773F1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  <w:p w14:paraId="2159E57B" w14:textId="77777777" w:rsidR="00B773F1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Cubre la obligación contingente debida a los desastres generados por la ocurrencia de fenómenos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naturales, a través de tres áreas de políticas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prioritarias para gestionar el riesgo fiscal por desastre</w:t>
            </w:r>
          </w:p>
          <w:p w14:paraId="10C55303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137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0E5DD2" w14:textId="77777777" w:rsidR="00B773F1" w:rsidRDefault="00B773F1" w:rsidP="00B773F1">
            <w:pPr>
              <w:pStyle w:val="Prrafodelist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14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Nacional de Gestión de Riesgos de Desastres</w:t>
            </w:r>
          </w:p>
          <w:p w14:paraId="2B324949" w14:textId="77777777" w:rsidR="00B773F1" w:rsidRDefault="00B773F1" w:rsidP="00B773F1">
            <w:pPr>
              <w:pStyle w:val="Prrafodelist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14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Crédito Contingente</w:t>
            </w:r>
          </w:p>
          <w:p w14:paraId="43324312" w14:textId="77777777" w:rsidR="00B773F1" w:rsidRPr="00391020" w:rsidRDefault="00B773F1" w:rsidP="00B773F1">
            <w:pPr>
              <w:pStyle w:val="Prrafodelista"/>
              <w:numPr>
                <w:ilvl w:val="0"/>
                <w:numId w:val="1"/>
              </w:numPr>
              <w:tabs>
                <w:tab w:val="left" w:pos="392"/>
              </w:tabs>
              <w:spacing w:after="0" w:line="240" w:lineRule="auto"/>
              <w:ind w:left="14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Evaluación de herramientas de protección financiera</w:t>
            </w:r>
          </w:p>
        </w:tc>
        <w:tc>
          <w:tcPr>
            <w:tcW w:w="105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43E34D" w14:textId="77777777" w:rsidR="00B773F1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Mundial para la Reducción y Recuperación de Desastres, Banco Mundial, Gobierno de Colombia, Ministerio de Hacienda y Crédito Público, (s.f.)</w:t>
            </w:r>
          </w:p>
        </w:tc>
      </w:tr>
      <w:tr w:rsidR="00B773F1" w:rsidRPr="008B79AA" w14:paraId="34CE042A" w14:textId="77777777" w:rsidTr="005B08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194739" w14:textId="77777777" w:rsidR="00B773F1" w:rsidRPr="00AF0947" w:rsidRDefault="00B773F1" w:rsidP="00B773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AF0947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Perú</w:t>
            </w:r>
          </w:p>
        </w:tc>
      </w:tr>
      <w:tr w:rsidR="00B773F1" w:rsidRPr="00E24838" w14:paraId="3350C995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A69" w14:textId="77777777" w:rsidR="00B773F1" w:rsidRPr="008B79A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2016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04BF1A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Estrategia integral de protección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Financiera ante el riesgo de desastres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asociados a fenómenos naturales</w:t>
            </w:r>
          </w:p>
        </w:tc>
        <w:tc>
          <w:tcPr>
            <w:tcW w:w="1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2423EF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Fortalecer la gestión de los riesgos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contingentes fiscales que podrían provenir de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desastres naturales y preservar la estabilidad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macroeconómica y la sostenibilidad de la política fiscal ante este tipo de eventos, incluye la definición de seis líneas estratégicas de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acciones prioritarias para evaluar, reducir y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gestionar el riesgo fiscal debido a la ocurrencia de desastres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83595A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Instrumentos de Retención de Riesgo</w:t>
            </w:r>
          </w:p>
          <w:p w14:paraId="490776C9" w14:textId="77777777" w:rsidR="00B773F1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Recursos por reasignaciones presupuestales.</w:t>
            </w:r>
          </w:p>
          <w:p w14:paraId="3E64D37D" w14:textId="77777777" w:rsidR="00B773F1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Reserva de contingencia.</w:t>
            </w:r>
          </w:p>
          <w:p w14:paraId="3D122D6A" w14:textId="77777777" w:rsidR="00B773F1" w:rsidRPr="008C74A2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de Estabilización Fiscal.</w:t>
            </w:r>
          </w:p>
          <w:p w14:paraId="7D650E86" w14:textId="77777777" w:rsidR="00B773F1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Líneas de Crédito Conti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n</w:t>
            </w: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gente dedicadas.</w:t>
            </w:r>
          </w:p>
          <w:p w14:paraId="28EB34C6" w14:textId="77777777" w:rsidR="00B773F1" w:rsidRPr="008C74A2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Créditos Post Desastre</w:t>
            </w:r>
          </w:p>
          <w:p w14:paraId="625460C7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  <w:p w14:paraId="5A118BC2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Instrumentos de Transferencias de Riesgo</w:t>
            </w:r>
          </w:p>
          <w:p w14:paraId="6E2B66AB" w14:textId="77777777" w:rsidR="00B773F1" w:rsidRDefault="00B773F1" w:rsidP="00B773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Aseguramiento indemnizatorio de bienes públicos y concesiones.</w:t>
            </w:r>
          </w:p>
          <w:p w14:paraId="120E9C1E" w14:textId="77777777" w:rsidR="00B773F1" w:rsidRDefault="00B773F1" w:rsidP="00B773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Financiamiento no tradicional: paramétrico,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CatBond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CatSwap</w:t>
            </w:r>
            <w:proofErr w:type="spellEnd"/>
          </w:p>
          <w:p w14:paraId="5587F740" w14:textId="77777777" w:rsidR="00B773F1" w:rsidRPr="00EC4A53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52F9C" w14:textId="77777777" w:rsidR="00B773F1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  <w:p w14:paraId="19A059F4" w14:textId="77777777" w:rsidR="00B773F1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  <w:p w14:paraId="37A796CB" w14:textId="77777777" w:rsidR="00B773F1" w:rsidRPr="005176A2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Mundial para la Reducción y Recuperación de Desastres, Banco Mundial, Ministerio de Economía y Finanzas (2016)</w:t>
            </w:r>
            <w:r w:rsidRPr="005176A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</w:t>
            </w:r>
          </w:p>
        </w:tc>
      </w:tr>
      <w:tr w:rsidR="00B773F1" w:rsidRPr="008B79AA" w14:paraId="118EF2E7" w14:textId="77777777" w:rsidTr="005B08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D5218D2" w14:textId="77777777" w:rsidR="00B773F1" w:rsidRPr="00D41C91" w:rsidRDefault="00B773F1" w:rsidP="00B773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D41C91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Panamá</w:t>
            </w:r>
          </w:p>
        </w:tc>
      </w:tr>
      <w:tr w:rsidR="00B773F1" w:rsidRPr="008B79AA" w14:paraId="45045A58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4DC1" w14:textId="77777777" w:rsidR="00B773F1" w:rsidRPr="008B79A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2014</w:t>
            </w:r>
          </w:p>
        </w:tc>
        <w:tc>
          <w:tcPr>
            <w:tcW w:w="87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8A3AD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Marco Estratégico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 xml:space="preserve">de Gestión 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>Financiera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de Riesgos de Desastres</w:t>
            </w:r>
          </w:p>
        </w:tc>
        <w:tc>
          <w:tcPr>
            <w:tcW w:w="12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AC1763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>Mejorar la capacidad de respuesta financiera del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>gobierno en caso de ocurrencia de un desastre y mitigar</w:t>
            </w: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br/>
              <w:t>los impactos fiscales y sociales de largo plazo de estos eventos, a través del desarrollo de las actividades definidos en cinco ejes estratégicos.</w:t>
            </w:r>
          </w:p>
        </w:tc>
        <w:tc>
          <w:tcPr>
            <w:tcW w:w="154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0A0E40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>Instrumentos de Retención de Riesgo</w:t>
            </w:r>
          </w:p>
          <w:p w14:paraId="41D18C8F" w14:textId="77777777" w:rsidR="00B773F1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 xml:space="preserve">Fondo de 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Ahorro de Panamá</w:t>
            </w: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.</w:t>
            </w:r>
          </w:p>
          <w:p w14:paraId="1F0A2597" w14:textId="77777777" w:rsidR="00B773F1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Líneas de Crédito Conti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ngente</w:t>
            </w:r>
            <w:r w:rsidRPr="008C74A2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.</w:t>
            </w:r>
          </w:p>
          <w:p w14:paraId="6350CAF3" w14:textId="77777777" w:rsidR="00B773F1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Créditos Post Desastre.</w:t>
            </w:r>
          </w:p>
          <w:p w14:paraId="2D86B5DA" w14:textId="77777777" w:rsidR="00B773F1" w:rsidRPr="008C74A2" w:rsidRDefault="00B773F1" w:rsidP="00B773F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de Emergencia/Resignación presupuestal o Crédito extraordinario.</w:t>
            </w:r>
          </w:p>
          <w:p w14:paraId="23FB436A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  <w:p w14:paraId="7955FD77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Instrumentos de Transferencias de Riesgo</w:t>
            </w:r>
          </w:p>
          <w:p w14:paraId="72E9B4C4" w14:textId="77777777" w:rsidR="00B773F1" w:rsidRDefault="00B773F1" w:rsidP="00B773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Seguro Agrícola.</w:t>
            </w:r>
          </w:p>
          <w:p w14:paraId="0AC8AAD5" w14:textId="77777777" w:rsidR="00B773F1" w:rsidRDefault="00B773F1" w:rsidP="00B773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Micro-Seguros.</w:t>
            </w:r>
          </w:p>
          <w:p w14:paraId="4F4E68F2" w14:textId="77777777" w:rsidR="00B773F1" w:rsidRDefault="00B773F1" w:rsidP="00B773F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Esquema mejorado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coseguro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 de activos públicos y aseguramiento catastrófico, el cual podrá darse a través de la participación de CCRIF (Facilidad de Aseguramiento de Riesgo Catastrófico del Caribe).</w:t>
            </w:r>
          </w:p>
          <w:p w14:paraId="0E1CF544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  <w:p w14:paraId="07F9F405" w14:textId="77777777" w:rsidR="00B773F1" w:rsidRPr="008B79AA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9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130DC7" w14:textId="77777777" w:rsidR="00B773F1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 xml:space="preserve">Ministerio de Economía y 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 xml:space="preserve">Finanzas (2014)  </w:t>
            </w:r>
          </w:p>
        </w:tc>
      </w:tr>
      <w:tr w:rsidR="00B773F1" w:rsidRPr="008B79AA" w14:paraId="5BB47E50" w14:textId="77777777" w:rsidTr="005B08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</w:tcBorders>
            <w:vAlign w:val="center"/>
            <w:hideMark/>
          </w:tcPr>
          <w:p w14:paraId="530AADA5" w14:textId="77777777" w:rsidR="00B773F1" w:rsidRPr="001F43F5" w:rsidRDefault="00B773F1" w:rsidP="00B773F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1F43F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lastRenderedPageBreak/>
              <w:t>México</w:t>
            </w:r>
          </w:p>
        </w:tc>
      </w:tr>
      <w:tr w:rsidR="00B773F1" w:rsidRPr="008B79AA" w14:paraId="2691CA03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shd w:val="clear" w:color="auto" w:fill="auto"/>
            <w:noWrap/>
            <w:vAlign w:val="center"/>
            <w:hideMark/>
          </w:tcPr>
          <w:p w14:paraId="365EA811" w14:textId="77777777" w:rsidR="00B773F1" w:rsidRPr="008B79A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2012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68626851" w14:textId="77777777" w:rsidR="00B773F1" w:rsidRPr="008B79A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B79A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Estrategia Financiera de Administración de Riesgos de Desastres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14:paraId="2248EAF5" w14:textId="77777777" w:rsidR="00B773F1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A1A71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Crear mecanismos sólidos de coordinación entre la sociedad civil y todos los niveles de gobierno para la respuesta en caso de desastre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.</w:t>
            </w:r>
          </w:p>
          <w:p w14:paraId="626A7253" w14:textId="77777777" w:rsidR="00B773F1" w:rsidRPr="008B79AA" w:rsidRDefault="00B773F1" w:rsidP="005B08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8A1A71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Dedicar fondos específicos para atender las actividades de respuesta ante desastres naturales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.</w:t>
            </w:r>
          </w:p>
        </w:tc>
        <w:tc>
          <w:tcPr>
            <w:tcW w:w="1394" w:type="pct"/>
            <w:gridSpan w:val="2"/>
            <w:shd w:val="clear" w:color="auto" w:fill="auto"/>
            <w:noWrap/>
            <w:vAlign w:val="center"/>
            <w:hideMark/>
          </w:tcPr>
          <w:p w14:paraId="28B0B245" w14:textId="77777777" w:rsidR="00B773F1" w:rsidRDefault="00B773F1" w:rsidP="005B0852">
            <w:pPr>
              <w:pStyle w:val="Prrafodelista"/>
              <w:ind w:lef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Instrumentos de Retención de Riesgo</w:t>
            </w:r>
          </w:p>
          <w:p w14:paraId="1DB3CBEC" w14:textId="77777777" w:rsidR="00B773F1" w:rsidRDefault="00B773F1" w:rsidP="00B773F1">
            <w:pPr>
              <w:pStyle w:val="Prrafodelista"/>
              <w:numPr>
                <w:ilvl w:val="0"/>
                <w:numId w:val="4"/>
              </w:numPr>
              <w:tabs>
                <w:tab w:val="left" w:pos="735"/>
              </w:tabs>
              <w:spacing w:after="0" w:line="240" w:lineRule="auto"/>
              <w:ind w:left="74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Nacional de Emergencias (FONDEN).</w:t>
            </w:r>
          </w:p>
          <w:p w14:paraId="15A2E1D2" w14:textId="77777777" w:rsidR="00B773F1" w:rsidRPr="00EF1657" w:rsidRDefault="00B773F1" w:rsidP="00B773F1">
            <w:pPr>
              <w:pStyle w:val="Prrafodelista"/>
              <w:numPr>
                <w:ilvl w:val="0"/>
                <w:numId w:val="4"/>
              </w:numPr>
              <w:tabs>
                <w:tab w:val="left" w:pos="735"/>
              </w:tabs>
              <w:spacing w:after="0" w:line="240" w:lineRule="auto"/>
              <w:ind w:left="74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EF1657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Fondo Nacional de Reconstrucción (FOPREDEN)</w:t>
            </w:r>
          </w:p>
          <w:p w14:paraId="24BDFAE6" w14:textId="77777777" w:rsidR="00B773F1" w:rsidRDefault="00B773F1" w:rsidP="00B773F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74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3276F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Instrumentos de Transferencias de Riesgo</w:t>
            </w:r>
          </w:p>
          <w:p w14:paraId="274F1994" w14:textId="77777777" w:rsidR="00B773F1" w:rsidRPr="00047536" w:rsidRDefault="00B773F1" w:rsidP="005B0852">
            <w:pPr>
              <w:pStyle w:val="Prrafodelist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14:paraId="20951C4F" w14:textId="77777777" w:rsidR="00B773F1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Secretaria de Hacienda y Crédito Público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s-ES"/>
              </w:rPr>
              <w:t xml:space="preserve">de los Estados Unidos Méxicanos </w:t>
            </w:r>
            <w:r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(2012) </w:t>
            </w:r>
          </w:p>
          <w:p w14:paraId="136BB880" w14:textId="77777777" w:rsidR="00B773F1" w:rsidRDefault="00B773F1" w:rsidP="005B0852">
            <w:pPr>
              <w:pStyle w:val="Prrafodelista"/>
              <w:tabs>
                <w:tab w:val="left" w:pos="392"/>
              </w:tabs>
              <w:ind w:left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</w:p>
        </w:tc>
      </w:tr>
    </w:tbl>
    <w:p w14:paraId="41FFA1D1" w14:textId="77777777" w:rsidR="00B773F1" w:rsidRDefault="00B773F1" w:rsidP="00B773F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6EFA8C5" w14:textId="77777777" w:rsidR="00B773F1" w:rsidRPr="008A0CFE" w:rsidRDefault="00B773F1" w:rsidP="00B77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Elaborado por: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Autores, 2020</w:t>
      </w:r>
    </w:p>
    <w:p w14:paraId="332A38E0" w14:textId="77777777" w:rsidR="00B773F1" w:rsidRDefault="00B773F1" w:rsidP="00B773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5D4C2C3" w14:textId="77777777" w:rsidR="00B773F1" w:rsidRDefault="00B773F1" w:rsidP="00B773F1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CD64622" w14:textId="77777777" w:rsidR="00B773F1" w:rsidRDefault="00B773F1" w:rsidP="00B77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34E">
        <w:rPr>
          <w:rFonts w:ascii="Times New Roman" w:hAnsi="Times New Roman" w:cs="Times New Roman"/>
          <w:b/>
          <w:sz w:val="24"/>
          <w:szCs w:val="24"/>
        </w:rPr>
        <w:t>Gráfico 1.</w:t>
      </w:r>
      <w:r w:rsidRPr="0060534E">
        <w:rPr>
          <w:rFonts w:ascii="Times New Roman" w:hAnsi="Times New Roman" w:cs="Times New Roman"/>
          <w:sz w:val="24"/>
          <w:szCs w:val="24"/>
        </w:rPr>
        <w:t xml:space="preserve"> Áreas</w:t>
      </w:r>
      <w:r w:rsidRPr="0045310E">
        <w:rPr>
          <w:rFonts w:ascii="Times New Roman" w:hAnsi="Times New Roman" w:cs="Times New Roman"/>
          <w:sz w:val="24"/>
          <w:szCs w:val="24"/>
        </w:rPr>
        <w:t xml:space="preserve"> de</w:t>
      </w:r>
      <w:r w:rsidRPr="004508E8">
        <w:rPr>
          <w:rFonts w:ascii="Times New Roman" w:hAnsi="Times New Roman" w:cs="Times New Roman"/>
          <w:sz w:val="24"/>
          <w:szCs w:val="24"/>
        </w:rPr>
        <w:t xml:space="preserve"> Gestión de Riesgos</w:t>
      </w:r>
    </w:p>
    <w:p w14:paraId="134D50AF" w14:textId="77777777" w:rsidR="00B773F1" w:rsidRDefault="00B773F1" w:rsidP="00B773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13848A96" wp14:editId="5EC56851">
            <wp:extent cx="5486400" cy="2962275"/>
            <wp:effectExtent l="0" t="0" r="0" b="952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81D043F" w14:textId="77777777" w:rsidR="00B773F1" w:rsidRPr="008A0CFE" w:rsidRDefault="00B773F1" w:rsidP="00B773F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 xml:space="preserve">Fuente: </w:t>
      </w:r>
      <w:bookmarkStart w:id="0" w:name="OLE_LINK1"/>
      <w:bookmarkStart w:id="1" w:name="OLE_LINK2"/>
      <w:r w:rsidRPr="008A0CFE">
        <w:rPr>
          <w:rFonts w:ascii="Times New Roman" w:hAnsi="Times New Roman" w:cs="Times New Roman"/>
          <w:bCs/>
          <w:sz w:val="24"/>
          <w:szCs w:val="24"/>
        </w:rPr>
        <w:t xml:space="preserve">SNGR, 2018a; </w:t>
      </w:r>
      <w:proofErr w:type="spellStart"/>
      <w:r w:rsidRPr="008A0CFE">
        <w:rPr>
          <w:rFonts w:ascii="Times New Roman" w:hAnsi="Times New Roman" w:cs="Times New Roman"/>
          <w:bCs/>
          <w:sz w:val="24"/>
          <w:szCs w:val="24"/>
        </w:rPr>
        <w:t>Lavell</w:t>
      </w:r>
      <w:proofErr w:type="spellEnd"/>
      <w:r w:rsidRPr="008A0CFE">
        <w:rPr>
          <w:rFonts w:ascii="Times New Roman" w:hAnsi="Times New Roman" w:cs="Times New Roman"/>
          <w:bCs/>
          <w:sz w:val="24"/>
          <w:szCs w:val="24"/>
        </w:rPr>
        <w:t>, 2010</w:t>
      </w:r>
      <w:bookmarkEnd w:id="0"/>
      <w:bookmarkEnd w:id="1"/>
    </w:p>
    <w:p w14:paraId="2C38A0FB" w14:textId="77777777" w:rsidR="00B773F1" w:rsidRPr="008A0CFE" w:rsidRDefault="00B773F1" w:rsidP="00B773F1">
      <w:pPr>
        <w:spacing w:after="0" w:line="36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 xml:space="preserve">Elaborado por: </w:t>
      </w:r>
      <w:r w:rsidRPr="008A0CFE">
        <w:rPr>
          <w:rFonts w:ascii="Times New Roman" w:hAnsi="Times New Roman" w:cs="Times New Roman"/>
          <w:bCs/>
          <w:sz w:val="24"/>
          <w:szCs w:val="24"/>
        </w:rPr>
        <w:t>Autores, 2020</w:t>
      </w:r>
    </w:p>
    <w:p w14:paraId="3961C449" w14:textId="10A18687" w:rsidR="001F1133" w:rsidRDefault="001F1133"/>
    <w:p w14:paraId="1FB2A00B" w14:textId="22B285E9" w:rsidR="00B773F1" w:rsidRDefault="00B773F1"/>
    <w:p w14:paraId="35C81329" w14:textId="5793EBBA" w:rsidR="00B773F1" w:rsidRDefault="00B773F1"/>
    <w:p w14:paraId="60C7249F" w14:textId="52D4D0BC" w:rsidR="00B773F1" w:rsidRDefault="00B773F1"/>
    <w:p w14:paraId="4958A87E" w14:textId="6944CEB3" w:rsidR="00B773F1" w:rsidRDefault="00B773F1"/>
    <w:p w14:paraId="0FBA9C92" w14:textId="051543F7" w:rsidR="00B773F1" w:rsidRDefault="00B773F1"/>
    <w:p w14:paraId="1BDD13AE" w14:textId="0B48AF7D" w:rsidR="00B773F1" w:rsidRDefault="00B773F1"/>
    <w:p w14:paraId="7E810781" w14:textId="3709C970" w:rsidR="00B773F1" w:rsidRDefault="00B773F1"/>
    <w:p w14:paraId="0D81A4FB" w14:textId="41A2FC1D" w:rsidR="00B773F1" w:rsidRDefault="00B773F1"/>
    <w:p w14:paraId="24AEB097" w14:textId="5CB95257" w:rsidR="00B773F1" w:rsidRDefault="00B773F1"/>
    <w:p w14:paraId="4C98CA5E" w14:textId="1C984E2B" w:rsidR="00B773F1" w:rsidRDefault="00B773F1"/>
    <w:p w14:paraId="19FB8F2E" w14:textId="62B09D18" w:rsidR="00B773F1" w:rsidRDefault="00B773F1"/>
    <w:p w14:paraId="2C878334" w14:textId="65C1216E" w:rsidR="00B773F1" w:rsidRDefault="00B773F1"/>
    <w:p w14:paraId="3D2C5400" w14:textId="689F5213" w:rsidR="00B773F1" w:rsidRDefault="00B773F1"/>
    <w:p w14:paraId="431C8715" w14:textId="387704D9" w:rsidR="00B773F1" w:rsidRDefault="00B773F1"/>
    <w:p w14:paraId="789B09FD" w14:textId="77777777" w:rsidR="00B773F1" w:rsidRDefault="00B773F1" w:rsidP="00B773F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3265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n-US"/>
        </w:rPr>
        <w:lastRenderedPageBreak/>
        <w:t xml:space="preserve">Tabla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n-US"/>
        </w:rPr>
        <w:t>2</w:t>
      </w:r>
      <w:r w:rsidRPr="00742D60">
        <w:rPr>
          <w:rFonts w:ascii="Times New Roman" w:hAnsi="Times New Roman" w:cs="Times New Roman"/>
          <w:b/>
          <w:sz w:val="24"/>
          <w:szCs w:val="24"/>
        </w:rPr>
        <w:t>:</w:t>
      </w:r>
      <w:r w:rsidRPr="00742D60">
        <w:rPr>
          <w:rFonts w:ascii="Times New Roman" w:hAnsi="Times New Roman" w:cs="Times New Roman"/>
          <w:sz w:val="24"/>
          <w:szCs w:val="24"/>
        </w:rPr>
        <w:t xml:space="preserve"> Flujo e índice de Ingresos y Egresos (en USD) de la Tasa de</w:t>
      </w:r>
      <w:r>
        <w:rPr>
          <w:rFonts w:ascii="Times New Roman" w:hAnsi="Times New Roman" w:cs="Times New Roman"/>
          <w:sz w:val="24"/>
          <w:szCs w:val="24"/>
        </w:rPr>
        <w:t xml:space="preserve"> gestión de riesgos en </w:t>
      </w:r>
      <w:r w:rsidRPr="00742D60">
        <w:rPr>
          <w:rFonts w:ascii="Times New Roman" w:hAnsi="Times New Roman" w:cs="Times New Roman"/>
          <w:sz w:val="24"/>
          <w:szCs w:val="24"/>
        </w:rPr>
        <w:t>el GAD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42D60">
        <w:rPr>
          <w:rFonts w:ascii="Times New Roman" w:hAnsi="Times New Roman" w:cs="Times New Roman"/>
          <w:sz w:val="24"/>
          <w:szCs w:val="24"/>
        </w:rPr>
        <w:t xml:space="preserve"> Portoviejo</w:t>
      </w:r>
    </w:p>
    <w:tbl>
      <w:tblPr>
        <w:tblStyle w:val="Sombreadoclaro-nfasis11"/>
        <w:tblW w:w="9134" w:type="dxa"/>
        <w:jc w:val="center"/>
        <w:tblLook w:val="04A0" w:firstRow="1" w:lastRow="0" w:firstColumn="1" w:lastColumn="0" w:noHBand="0" w:noVBand="1"/>
      </w:tblPr>
      <w:tblGrid>
        <w:gridCol w:w="1183"/>
        <w:gridCol w:w="1200"/>
        <w:gridCol w:w="1780"/>
        <w:gridCol w:w="1574"/>
        <w:gridCol w:w="1762"/>
        <w:gridCol w:w="1635"/>
      </w:tblGrid>
      <w:tr w:rsidR="00B773F1" w:rsidRPr="00CE786A" w14:paraId="51FCFBEC" w14:textId="77777777" w:rsidTr="005B0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noWrap/>
            <w:vAlign w:val="center"/>
            <w:hideMark/>
          </w:tcPr>
          <w:p w14:paraId="6EDB2C1D" w14:textId="77777777" w:rsidR="00B773F1" w:rsidRPr="00CE786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Año</w:t>
            </w:r>
          </w:p>
        </w:tc>
        <w:tc>
          <w:tcPr>
            <w:tcW w:w="1200" w:type="dxa"/>
            <w:vAlign w:val="center"/>
            <w:hideMark/>
          </w:tcPr>
          <w:p w14:paraId="69384274" w14:textId="77777777" w:rsidR="00B773F1" w:rsidRPr="00CE786A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Ingreso (valores en USD)</w:t>
            </w:r>
          </w:p>
        </w:tc>
        <w:tc>
          <w:tcPr>
            <w:tcW w:w="1780" w:type="dxa"/>
            <w:vAlign w:val="center"/>
            <w:hideMark/>
          </w:tcPr>
          <w:p w14:paraId="2E5A47F7" w14:textId="77777777" w:rsidR="00B773F1" w:rsidRPr="00CE786A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Índice relativo en 100 de ingresos entre años</w:t>
            </w:r>
          </w:p>
        </w:tc>
        <w:tc>
          <w:tcPr>
            <w:tcW w:w="1574" w:type="dxa"/>
            <w:vAlign w:val="center"/>
            <w:hideMark/>
          </w:tcPr>
          <w:p w14:paraId="588790D1" w14:textId="77777777" w:rsidR="00B773F1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Egreso</w:t>
            </w:r>
          </w:p>
          <w:p w14:paraId="63CB83B5" w14:textId="77777777" w:rsidR="00B773F1" w:rsidRPr="00CE786A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(valores en USD)</w:t>
            </w:r>
          </w:p>
        </w:tc>
        <w:tc>
          <w:tcPr>
            <w:tcW w:w="1762" w:type="dxa"/>
            <w:vAlign w:val="center"/>
            <w:hideMark/>
          </w:tcPr>
          <w:p w14:paraId="1188922B" w14:textId="77777777" w:rsidR="00B773F1" w:rsidRPr="00CE786A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Índice relativo en 100 de egreso entre años</w:t>
            </w:r>
          </w:p>
        </w:tc>
        <w:tc>
          <w:tcPr>
            <w:tcW w:w="1635" w:type="dxa"/>
            <w:vAlign w:val="center"/>
            <w:hideMark/>
          </w:tcPr>
          <w:p w14:paraId="3F5C462D" w14:textId="77777777" w:rsidR="00B773F1" w:rsidRPr="00CE786A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Relación en % de ingresos / egreso</w:t>
            </w:r>
          </w:p>
        </w:tc>
      </w:tr>
      <w:tr w:rsidR="00B773F1" w:rsidRPr="00CE786A" w14:paraId="4536F4E1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noWrap/>
            <w:vAlign w:val="center"/>
            <w:hideMark/>
          </w:tcPr>
          <w:p w14:paraId="715962D3" w14:textId="77777777" w:rsidR="00B773F1" w:rsidRPr="00CE786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2016</w:t>
            </w:r>
          </w:p>
        </w:tc>
        <w:tc>
          <w:tcPr>
            <w:tcW w:w="1200" w:type="dxa"/>
            <w:noWrap/>
            <w:vAlign w:val="center"/>
            <w:hideMark/>
          </w:tcPr>
          <w:p w14:paraId="0D312D8B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563072,52</w:t>
            </w:r>
          </w:p>
        </w:tc>
        <w:tc>
          <w:tcPr>
            <w:tcW w:w="1780" w:type="dxa"/>
            <w:noWrap/>
            <w:vAlign w:val="center"/>
            <w:hideMark/>
          </w:tcPr>
          <w:p w14:paraId="32ACEEC3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0,00</w:t>
            </w:r>
          </w:p>
        </w:tc>
        <w:tc>
          <w:tcPr>
            <w:tcW w:w="1574" w:type="dxa"/>
            <w:noWrap/>
            <w:vAlign w:val="center"/>
            <w:hideMark/>
          </w:tcPr>
          <w:p w14:paraId="2F506A56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1034877,02</w:t>
            </w:r>
          </w:p>
        </w:tc>
        <w:tc>
          <w:tcPr>
            <w:tcW w:w="1762" w:type="dxa"/>
            <w:noWrap/>
            <w:vAlign w:val="center"/>
            <w:hideMark/>
          </w:tcPr>
          <w:p w14:paraId="3B0C2143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0,00</w:t>
            </w:r>
          </w:p>
        </w:tc>
        <w:tc>
          <w:tcPr>
            <w:tcW w:w="1635" w:type="dxa"/>
            <w:noWrap/>
            <w:vAlign w:val="center"/>
            <w:hideMark/>
          </w:tcPr>
          <w:p w14:paraId="5B64CDC5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-45,59</w:t>
            </w:r>
          </w:p>
        </w:tc>
      </w:tr>
      <w:tr w:rsidR="00B773F1" w:rsidRPr="00CE786A" w14:paraId="3B7CB4B8" w14:textId="77777777" w:rsidTr="005B085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noWrap/>
            <w:vAlign w:val="center"/>
            <w:hideMark/>
          </w:tcPr>
          <w:p w14:paraId="685D2E4F" w14:textId="77777777" w:rsidR="00B773F1" w:rsidRPr="00CE786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2017</w:t>
            </w:r>
          </w:p>
        </w:tc>
        <w:tc>
          <w:tcPr>
            <w:tcW w:w="1200" w:type="dxa"/>
            <w:noWrap/>
            <w:vAlign w:val="center"/>
            <w:hideMark/>
          </w:tcPr>
          <w:p w14:paraId="59C66CFB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763787,37</w:t>
            </w:r>
          </w:p>
        </w:tc>
        <w:tc>
          <w:tcPr>
            <w:tcW w:w="1780" w:type="dxa"/>
            <w:noWrap/>
            <w:vAlign w:val="center"/>
            <w:hideMark/>
          </w:tcPr>
          <w:p w14:paraId="2C4FC2AF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35,65</w:t>
            </w:r>
          </w:p>
        </w:tc>
        <w:tc>
          <w:tcPr>
            <w:tcW w:w="1574" w:type="dxa"/>
            <w:noWrap/>
            <w:vAlign w:val="center"/>
            <w:hideMark/>
          </w:tcPr>
          <w:p w14:paraId="0AEC83D3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1162620,48</w:t>
            </w:r>
          </w:p>
        </w:tc>
        <w:tc>
          <w:tcPr>
            <w:tcW w:w="1762" w:type="dxa"/>
            <w:noWrap/>
            <w:vAlign w:val="center"/>
            <w:hideMark/>
          </w:tcPr>
          <w:p w14:paraId="2E89FDBC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12,34</w:t>
            </w:r>
          </w:p>
        </w:tc>
        <w:tc>
          <w:tcPr>
            <w:tcW w:w="1635" w:type="dxa"/>
            <w:noWrap/>
            <w:vAlign w:val="center"/>
            <w:hideMark/>
          </w:tcPr>
          <w:p w14:paraId="7ED7E518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-34,30</w:t>
            </w:r>
          </w:p>
        </w:tc>
      </w:tr>
      <w:tr w:rsidR="00B773F1" w:rsidRPr="00CE786A" w14:paraId="05286888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noWrap/>
            <w:vAlign w:val="center"/>
            <w:hideMark/>
          </w:tcPr>
          <w:p w14:paraId="3A2DB902" w14:textId="77777777" w:rsidR="00B773F1" w:rsidRPr="00CE786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2018</w:t>
            </w:r>
          </w:p>
        </w:tc>
        <w:tc>
          <w:tcPr>
            <w:tcW w:w="1200" w:type="dxa"/>
            <w:noWrap/>
            <w:vAlign w:val="center"/>
            <w:hideMark/>
          </w:tcPr>
          <w:p w14:paraId="071F441E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875186,87</w:t>
            </w:r>
          </w:p>
        </w:tc>
        <w:tc>
          <w:tcPr>
            <w:tcW w:w="1780" w:type="dxa"/>
            <w:noWrap/>
            <w:vAlign w:val="center"/>
            <w:hideMark/>
          </w:tcPr>
          <w:p w14:paraId="5584E3D3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14,59</w:t>
            </w:r>
          </w:p>
        </w:tc>
        <w:tc>
          <w:tcPr>
            <w:tcW w:w="1574" w:type="dxa"/>
            <w:noWrap/>
            <w:vAlign w:val="center"/>
            <w:hideMark/>
          </w:tcPr>
          <w:p w14:paraId="662506F1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767466,00</w:t>
            </w:r>
          </w:p>
        </w:tc>
        <w:tc>
          <w:tcPr>
            <w:tcW w:w="1762" w:type="dxa"/>
            <w:noWrap/>
            <w:vAlign w:val="center"/>
            <w:hideMark/>
          </w:tcPr>
          <w:p w14:paraId="35883DF8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-33,99</w:t>
            </w:r>
          </w:p>
        </w:tc>
        <w:tc>
          <w:tcPr>
            <w:tcW w:w="1635" w:type="dxa"/>
            <w:noWrap/>
            <w:vAlign w:val="center"/>
            <w:hideMark/>
          </w:tcPr>
          <w:p w14:paraId="46BE1495" w14:textId="77777777" w:rsidR="00B773F1" w:rsidRPr="00CE786A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14,04</w:t>
            </w:r>
          </w:p>
        </w:tc>
      </w:tr>
      <w:tr w:rsidR="00B773F1" w:rsidRPr="00CE786A" w14:paraId="66E39D96" w14:textId="77777777" w:rsidTr="005B085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  <w:noWrap/>
            <w:vAlign w:val="center"/>
            <w:hideMark/>
          </w:tcPr>
          <w:p w14:paraId="7A3ED90F" w14:textId="77777777" w:rsidR="00B773F1" w:rsidRPr="00CE786A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2019</w:t>
            </w:r>
          </w:p>
        </w:tc>
        <w:tc>
          <w:tcPr>
            <w:tcW w:w="1200" w:type="dxa"/>
            <w:noWrap/>
            <w:vAlign w:val="center"/>
            <w:hideMark/>
          </w:tcPr>
          <w:p w14:paraId="581A025E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855249,87</w:t>
            </w:r>
          </w:p>
        </w:tc>
        <w:tc>
          <w:tcPr>
            <w:tcW w:w="1780" w:type="dxa"/>
            <w:noWrap/>
            <w:vAlign w:val="center"/>
            <w:hideMark/>
          </w:tcPr>
          <w:p w14:paraId="78D9BBF8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-2,28</w:t>
            </w:r>
          </w:p>
        </w:tc>
        <w:tc>
          <w:tcPr>
            <w:tcW w:w="1574" w:type="dxa"/>
            <w:noWrap/>
            <w:vAlign w:val="center"/>
            <w:hideMark/>
          </w:tcPr>
          <w:p w14:paraId="540D018B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301001,59</w:t>
            </w:r>
          </w:p>
        </w:tc>
        <w:tc>
          <w:tcPr>
            <w:tcW w:w="1762" w:type="dxa"/>
            <w:noWrap/>
            <w:vAlign w:val="center"/>
            <w:hideMark/>
          </w:tcPr>
          <w:p w14:paraId="1201136E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-60,78</w:t>
            </w:r>
          </w:p>
        </w:tc>
        <w:tc>
          <w:tcPr>
            <w:tcW w:w="1635" w:type="dxa"/>
            <w:noWrap/>
            <w:vAlign w:val="center"/>
            <w:hideMark/>
          </w:tcPr>
          <w:p w14:paraId="4E5325F2" w14:textId="77777777" w:rsidR="00B773F1" w:rsidRPr="00CE786A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CE786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184,13</w:t>
            </w:r>
          </w:p>
        </w:tc>
      </w:tr>
    </w:tbl>
    <w:p w14:paraId="45217A2E" w14:textId="77777777" w:rsidR="00B773F1" w:rsidRDefault="00B773F1" w:rsidP="00B773F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05905C3" w14:textId="77777777" w:rsidR="00B773F1" w:rsidRPr="00C73221" w:rsidRDefault="00B773F1" w:rsidP="00B773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21">
        <w:rPr>
          <w:rFonts w:ascii="Times New Roman" w:hAnsi="Times New Roman" w:cs="Times New Roman"/>
          <w:b/>
          <w:sz w:val="24"/>
          <w:szCs w:val="24"/>
        </w:rPr>
        <w:t>Fuente:</w:t>
      </w:r>
      <w:r w:rsidRPr="00C73221">
        <w:rPr>
          <w:rFonts w:ascii="Times New Roman" w:hAnsi="Times New Roman" w:cs="Times New Roman"/>
          <w:bCs/>
          <w:sz w:val="24"/>
          <w:szCs w:val="24"/>
        </w:rPr>
        <w:t xml:space="preserve"> Dirección Financiera y Dirección de Gestión de Riesgos del GADM Portoviejo, 2020.</w:t>
      </w:r>
    </w:p>
    <w:p w14:paraId="623ED584" w14:textId="77777777" w:rsidR="00B773F1" w:rsidRPr="00C73221" w:rsidRDefault="00B773F1" w:rsidP="00B773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21">
        <w:rPr>
          <w:rFonts w:ascii="Times New Roman" w:hAnsi="Times New Roman" w:cs="Times New Roman"/>
          <w:b/>
          <w:sz w:val="24"/>
          <w:szCs w:val="24"/>
        </w:rPr>
        <w:t>Elaborado por:</w:t>
      </w:r>
      <w:r w:rsidRPr="00C73221">
        <w:rPr>
          <w:rFonts w:ascii="Times New Roman" w:hAnsi="Times New Roman" w:cs="Times New Roman"/>
          <w:bCs/>
          <w:sz w:val="24"/>
          <w:szCs w:val="24"/>
        </w:rPr>
        <w:t xml:space="preserve"> Autores, 2020</w:t>
      </w:r>
    </w:p>
    <w:p w14:paraId="1F921454" w14:textId="77777777" w:rsidR="00B773F1" w:rsidRPr="00A00C0C" w:rsidRDefault="00B773F1" w:rsidP="00B773F1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42229928" w14:textId="77777777" w:rsidR="00B773F1" w:rsidRPr="006F117B" w:rsidRDefault="00B773F1" w:rsidP="00B773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A67AD" w14:textId="77777777" w:rsidR="00B773F1" w:rsidRDefault="00B773F1" w:rsidP="00B77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17B">
        <w:rPr>
          <w:rFonts w:ascii="Times New Roman" w:hAnsi="Times New Roman" w:cs="Times New Roman"/>
          <w:b/>
          <w:sz w:val="24"/>
          <w:szCs w:val="24"/>
        </w:rPr>
        <w:t>Gráfico 2.</w:t>
      </w:r>
      <w:r w:rsidRPr="006F117B">
        <w:rPr>
          <w:rFonts w:ascii="Times New Roman" w:hAnsi="Times New Roman" w:cs="Times New Roman"/>
          <w:sz w:val="24"/>
          <w:szCs w:val="24"/>
        </w:rPr>
        <w:t xml:space="preserve"> Flujo de Ingresos y Egresos (en USD) de la Tasa de gestión de riesgos del GADM Portoviejo</w:t>
      </w:r>
      <w:r w:rsidRPr="00911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83103" w14:textId="77777777" w:rsidR="00B773F1" w:rsidRPr="00911B8F" w:rsidRDefault="00B773F1" w:rsidP="00B77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007462" wp14:editId="4E7D8FFE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5724525" cy="3476625"/>
            <wp:effectExtent l="0" t="0" r="9525" b="952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2F8E10-FEC3-435E-B9A3-98F2387678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D1FC5" w14:textId="77777777" w:rsidR="00B773F1" w:rsidRPr="004508E8" w:rsidRDefault="00B773F1" w:rsidP="00B773F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7008C70B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C8E237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49B1D25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B9BAA8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93A8AEE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5F0CCBE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1EB474E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A1B2A3E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F305B20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D24B9DC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FB0197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C78E16F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6D4885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84176C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833C83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B542DC" w14:textId="77777777" w:rsidR="00B773F1" w:rsidRPr="008A0CFE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Fuente: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Dirección Financiera y Dirección de Gestión de Riesgos del GADM Portoviejo, 2020</w:t>
      </w:r>
    </w:p>
    <w:p w14:paraId="06D2C087" w14:textId="77777777" w:rsidR="00B773F1" w:rsidRPr="008A0CFE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Elaborado por: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Autores, 2020</w:t>
      </w:r>
    </w:p>
    <w:p w14:paraId="5E309CE9" w14:textId="77777777" w:rsidR="00B773F1" w:rsidRDefault="00B773F1" w:rsidP="00B773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1D8F7" w14:textId="66ED574A" w:rsidR="00B773F1" w:rsidRDefault="00B773F1"/>
    <w:p w14:paraId="5D50EEF6" w14:textId="77777777" w:rsidR="00B773F1" w:rsidRPr="00E541ED" w:rsidRDefault="00B773F1" w:rsidP="00B773F1">
      <w:pPr>
        <w:tabs>
          <w:tab w:val="left" w:pos="960"/>
        </w:tabs>
        <w:spacing w:after="240"/>
        <w:ind w:left="990" w:hanging="9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C3BD2" w14:textId="77777777" w:rsidR="00B773F1" w:rsidRDefault="00B773F1" w:rsidP="00B773F1">
      <w:pPr>
        <w:tabs>
          <w:tab w:val="left" w:pos="960"/>
        </w:tabs>
        <w:spacing w:after="240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E541ED">
        <w:rPr>
          <w:rFonts w:ascii="Times New Roman" w:hAnsi="Times New Roman" w:cs="Times New Roman"/>
          <w:b/>
          <w:sz w:val="24"/>
          <w:szCs w:val="24"/>
        </w:rPr>
        <w:t>Tabla 3:</w:t>
      </w:r>
      <w:r w:rsidRPr="00E541ED">
        <w:rPr>
          <w:rFonts w:ascii="Times New Roman" w:hAnsi="Times New Roman" w:cs="Times New Roman"/>
          <w:sz w:val="24"/>
          <w:szCs w:val="24"/>
        </w:rPr>
        <w:t xml:space="preserve"> Tasa de ingresos y egresos per cápita del GADM Portoviejo en el período 2016 a 2019, de acuerdo a la Tasa de gestión de riesgos</w:t>
      </w:r>
    </w:p>
    <w:tbl>
      <w:tblPr>
        <w:tblStyle w:val="Sombreadoclaro-nfasis11"/>
        <w:tblW w:w="8851" w:type="dxa"/>
        <w:tblInd w:w="108" w:type="dxa"/>
        <w:tblLook w:val="04A0" w:firstRow="1" w:lastRow="0" w:firstColumn="1" w:lastColumn="0" w:noHBand="0" w:noVBand="1"/>
      </w:tblPr>
      <w:tblGrid>
        <w:gridCol w:w="1138"/>
        <w:gridCol w:w="1731"/>
        <w:gridCol w:w="1619"/>
        <w:gridCol w:w="1439"/>
        <w:gridCol w:w="1462"/>
        <w:gridCol w:w="1462"/>
      </w:tblGrid>
      <w:tr w:rsidR="00B773F1" w:rsidRPr="00663955" w14:paraId="4A07F076" w14:textId="77777777" w:rsidTr="005B0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vAlign w:val="center"/>
            <w:hideMark/>
          </w:tcPr>
          <w:p w14:paraId="75BFA2B4" w14:textId="77777777" w:rsidR="00B773F1" w:rsidRPr="00663955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Año</w:t>
            </w:r>
          </w:p>
        </w:tc>
        <w:tc>
          <w:tcPr>
            <w:tcW w:w="1731" w:type="dxa"/>
            <w:vAlign w:val="center"/>
            <w:hideMark/>
          </w:tcPr>
          <w:p w14:paraId="53D1D52A" w14:textId="77777777" w:rsidR="00B773F1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Ingreso </w:t>
            </w:r>
          </w:p>
          <w:p w14:paraId="33EB9D2D" w14:textId="77777777" w:rsidR="00B773F1" w:rsidRPr="00663955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(en USD) *</w:t>
            </w:r>
          </w:p>
        </w:tc>
        <w:tc>
          <w:tcPr>
            <w:tcW w:w="1619" w:type="dxa"/>
            <w:vAlign w:val="center"/>
            <w:hideMark/>
          </w:tcPr>
          <w:p w14:paraId="70F996EB" w14:textId="77777777" w:rsidR="00B773F1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Egreso       </w:t>
            </w:r>
          </w:p>
          <w:p w14:paraId="321FB1D4" w14:textId="77777777" w:rsidR="00B773F1" w:rsidRPr="00663955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 (en USD) *</w:t>
            </w:r>
          </w:p>
        </w:tc>
        <w:tc>
          <w:tcPr>
            <w:tcW w:w="1439" w:type="dxa"/>
            <w:vAlign w:val="center"/>
            <w:hideMark/>
          </w:tcPr>
          <w:p w14:paraId="04F5E09F" w14:textId="77777777" w:rsidR="00B773F1" w:rsidRPr="00663955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Población Total **</w:t>
            </w:r>
          </w:p>
        </w:tc>
        <w:tc>
          <w:tcPr>
            <w:tcW w:w="1462" w:type="dxa"/>
            <w:vAlign w:val="center"/>
            <w:hideMark/>
          </w:tcPr>
          <w:p w14:paraId="67B6D5A1" w14:textId="77777777" w:rsidR="00B773F1" w:rsidRPr="00663955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Tasa Ingreso   per cápita</w:t>
            </w:r>
          </w:p>
        </w:tc>
        <w:tc>
          <w:tcPr>
            <w:tcW w:w="1462" w:type="dxa"/>
            <w:vAlign w:val="center"/>
            <w:hideMark/>
          </w:tcPr>
          <w:p w14:paraId="6C2E5F39" w14:textId="77777777" w:rsidR="00B773F1" w:rsidRPr="00663955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Tasa Egreso    per cápita</w:t>
            </w:r>
          </w:p>
        </w:tc>
      </w:tr>
      <w:tr w:rsidR="00B773F1" w:rsidRPr="00663955" w14:paraId="697D420C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vAlign w:val="center"/>
            <w:hideMark/>
          </w:tcPr>
          <w:p w14:paraId="2DA0C84B" w14:textId="77777777" w:rsidR="00B773F1" w:rsidRPr="00663955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2016</w:t>
            </w:r>
          </w:p>
        </w:tc>
        <w:tc>
          <w:tcPr>
            <w:tcW w:w="1731" w:type="dxa"/>
            <w:noWrap/>
            <w:vAlign w:val="center"/>
            <w:hideMark/>
          </w:tcPr>
          <w:p w14:paraId="0C30AE88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563072,5</w:t>
            </w:r>
          </w:p>
        </w:tc>
        <w:tc>
          <w:tcPr>
            <w:tcW w:w="1619" w:type="dxa"/>
            <w:noWrap/>
            <w:vAlign w:val="center"/>
            <w:hideMark/>
          </w:tcPr>
          <w:p w14:paraId="42A43D3F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1034877,0</w:t>
            </w:r>
          </w:p>
        </w:tc>
        <w:tc>
          <w:tcPr>
            <w:tcW w:w="1439" w:type="dxa"/>
            <w:noWrap/>
            <w:vAlign w:val="center"/>
            <w:hideMark/>
          </w:tcPr>
          <w:p w14:paraId="31CE6950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310582,0</w:t>
            </w:r>
          </w:p>
        </w:tc>
        <w:tc>
          <w:tcPr>
            <w:tcW w:w="1462" w:type="dxa"/>
            <w:noWrap/>
            <w:vAlign w:val="center"/>
            <w:hideMark/>
          </w:tcPr>
          <w:p w14:paraId="56AAEA38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1,8</w:t>
            </w:r>
          </w:p>
        </w:tc>
        <w:tc>
          <w:tcPr>
            <w:tcW w:w="1462" w:type="dxa"/>
            <w:noWrap/>
            <w:vAlign w:val="center"/>
            <w:hideMark/>
          </w:tcPr>
          <w:p w14:paraId="75E83D1C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3,3</w:t>
            </w:r>
          </w:p>
        </w:tc>
      </w:tr>
      <w:tr w:rsidR="00B773F1" w:rsidRPr="00663955" w14:paraId="20CDBC6E" w14:textId="77777777" w:rsidTr="005B08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vAlign w:val="center"/>
            <w:hideMark/>
          </w:tcPr>
          <w:p w14:paraId="055BAF56" w14:textId="77777777" w:rsidR="00B773F1" w:rsidRPr="00663955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2017</w:t>
            </w:r>
          </w:p>
        </w:tc>
        <w:tc>
          <w:tcPr>
            <w:tcW w:w="1731" w:type="dxa"/>
            <w:noWrap/>
            <w:vAlign w:val="center"/>
            <w:hideMark/>
          </w:tcPr>
          <w:p w14:paraId="29623C14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763787,4</w:t>
            </w:r>
          </w:p>
        </w:tc>
        <w:tc>
          <w:tcPr>
            <w:tcW w:w="1619" w:type="dxa"/>
            <w:noWrap/>
            <w:vAlign w:val="center"/>
            <w:hideMark/>
          </w:tcPr>
          <w:p w14:paraId="38A789D5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1162620,5</w:t>
            </w:r>
          </w:p>
        </w:tc>
        <w:tc>
          <w:tcPr>
            <w:tcW w:w="1439" w:type="dxa"/>
            <w:noWrap/>
            <w:vAlign w:val="center"/>
            <w:hideMark/>
          </w:tcPr>
          <w:p w14:paraId="0E5F7D8F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313576,0</w:t>
            </w:r>
          </w:p>
        </w:tc>
        <w:tc>
          <w:tcPr>
            <w:tcW w:w="1462" w:type="dxa"/>
            <w:noWrap/>
            <w:vAlign w:val="center"/>
            <w:hideMark/>
          </w:tcPr>
          <w:p w14:paraId="00608DE0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2,4</w:t>
            </w:r>
          </w:p>
        </w:tc>
        <w:tc>
          <w:tcPr>
            <w:tcW w:w="1462" w:type="dxa"/>
            <w:noWrap/>
            <w:vAlign w:val="center"/>
            <w:hideMark/>
          </w:tcPr>
          <w:p w14:paraId="132F8353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3,7</w:t>
            </w:r>
          </w:p>
        </w:tc>
      </w:tr>
      <w:tr w:rsidR="00B773F1" w:rsidRPr="00663955" w14:paraId="2D47BFFC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vAlign w:val="center"/>
            <w:hideMark/>
          </w:tcPr>
          <w:p w14:paraId="0FC28F6D" w14:textId="77777777" w:rsidR="00B773F1" w:rsidRPr="00663955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2018</w:t>
            </w:r>
          </w:p>
        </w:tc>
        <w:tc>
          <w:tcPr>
            <w:tcW w:w="1731" w:type="dxa"/>
            <w:noWrap/>
            <w:vAlign w:val="center"/>
            <w:hideMark/>
          </w:tcPr>
          <w:p w14:paraId="36050EE2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875186,9</w:t>
            </w:r>
          </w:p>
        </w:tc>
        <w:tc>
          <w:tcPr>
            <w:tcW w:w="1619" w:type="dxa"/>
            <w:noWrap/>
            <w:vAlign w:val="center"/>
            <w:hideMark/>
          </w:tcPr>
          <w:p w14:paraId="7B18B61C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767466,0</w:t>
            </w:r>
          </w:p>
        </w:tc>
        <w:tc>
          <w:tcPr>
            <w:tcW w:w="1439" w:type="dxa"/>
            <w:noWrap/>
            <w:vAlign w:val="center"/>
            <w:hideMark/>
          </w:tcPr>
          <w:p w14:paraId="7E0F5158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316444,0</w:t>
            </w:r>
          </w:p>
        </w:tc>
        <w:tc>
          <w:tcPr>
            <w:tcW w:w="1462" w:type="dxa"/>
            <w:noWrap/>
            <w:vAlign w:val="center"/>
            <w:hideMark/>
          </w:tcPr>
          <w:p w14:paraId="2CB0A2DE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2,8</w:t>
            </w:r>
          </w:p>
        </w:tc>
        <w:tc>
          <w:tcPr>
            <w:tcW w:w="1462" w:type="dxa"/>
            <w:noWrap/>
            <w:vAlign w:val="center"/>
            <w:hideMark/>
          </w:tcPr>
          <w:p w14:paraId="0F64E8E8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2,4</w:t>
            </w:r>
          </w:p>
        </w:tc>
      </w:tr>
      <w:tr w:rsidR="00B773F1" w:rsidRPr="00663955" w14:paraId="35E6336A" w14:textId="77777777" w:rsidTr="005B08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vAlign w:val="center"/>
            <w:hideMark/>
          </w:tcPr>
          <w:p w14:paraId="349CE6C3" w14:textId="77777777" w:rsidR="00B773F1" w:rsidRPr="00663955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2019</w:t>
            </w:r>
          </w:p>
        </w:tc>
        <w:tc>
          <w:tcPr>
            <w:tcW w:w="1731" w:type="dxa"/>
            <w:noWrap/>
            <w:vAlign w:val="center"/>
            <w:hideMark/>
          </w:tcPr>
          <w:p w14:paraId="024D93DF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855249,9</w:t>
            </w:r>
          </w:p>
        </w:tc>
        <w:tc>
          <w:tcPr>
            <w:tcW w:w="1619" w:type="dxa"/>
            <w:noWrap/>
            <w:vAlign w:val="center"/>
            <w:hideMark/>
          </w:tcPr>
          <w:p w14:paraId="752E7AFF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301001,6</w:t>
            </w:r>
          </w:p>
        </w:tc>
        <w:tc>
          <w:tcPr>
            <w:tcW w:w="1439" w:type="dxa"/>
            <w:noWrap/>
            <w:vAlign w:val="center"/>
            <w:hideMark/>
          </w:tcPr>
          <w:p w14:paraId="13317031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319185,0</w:t>
            </w:r>
          </w:p>
        </w:tc>
        <w:tc>
          <w:tcPr>
            <w:tcW w:w="1462" w:type="dxa"/>
            <w:noWrap/>
            <w:vAlign w:val="center"/>
            <w:hideMark/>
          </w:tcPr>
          <w:p w14:paraId="6AA9D367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2,7</w:t>
            </w:r>
          </w:p>
        </w:tc>
        <w:tc>
          <w:tcPr>
            <w:tcW w:w="1462" w:type="dxa"/>
            <w:noWrap/>
            <w:vAlign w:val="center"/>
            <w:hideMark/>
          </w:tcPr>
          <w:p w14:paraId="101FFAD3" w14:textId="77777777" w:rsidR="00B773F1" w:rsidRPr="00663955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663955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0,9</w:t>
            </w:r>
          </w:p>
        </w:tc>
      </w:tr>
      <w:tr w:rsidR="00B773F1" w:rsidRPr="00663955" w14:paraId="74F51F6C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" w:type="dxa"/>
            <w:noWrap/>
            <w:vAlign w:val="center"/>
            <w:hideMark/>
          </w:tcPr>
          <w:p w14:paraId="5B4F3D47" w14:textId="77777777" w:rsidR="00B773F1" w:rsidRPr="00663955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486BB0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Promedio</w:t>
            </w:r>
          </w:p>
        </w:tc>
        <w:tc>
          <w:tcPr>
            <w:tcW w:w="1731" w:type="dxa"/>
            <w:noWrap/>
            <w:vAlign w:val="center"/>
            <w:hideMark/>
          </w:tcPr>
          <w:p w14:paraId="09EEA97C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486BB0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764324,2</w:t>
            </w:r>
          </w:p>
        </w:tc>
        <w:tc>
          <w:tcPr>
            <w:tcW w:w="1619" w:type="dxa"/>
            <w:noWrap/>
            <w:vAlign w:val="center"/>
            <w:hideMark/>
          </w:tcPr>
          <w:p w14:paraId="23E8A19C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486BB0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816491,3</w:t>
            </w:r>
          </w:p>
        </w:tc>
        <w:tc>
          <w:tcPr>
            <w:tcW w:w="1439" w:type="dxa"/>
            <w:noWrap/>
            <w:vAlign w:val="center"/>
            <w:hideMark/>
          </w:tcPr>
          <w:p w14:paraId="2E8CB3EA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486BB0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314946,8</w:t>
            </w:r>
          </w:p>
        </w:tc>
        <w:tc>
          <w:tcPr>
            <w:tcW w:w="1462" w:type="dxa"/>
            <w:noWrap/>
            <w:vAlign w:val="center"/>
            <w:hideMark/>
          </w:tcPr>
          <w:p w14:paraId="66DEF478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486BB0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2,4</w:t>
            </w:r>
          </w:p>
        </w:tc>
        <w:tc>
          <w:tcPr>
            <w:tcW w:w="1462" w:type="dxa"/>
            <w:noWrap/>
            <w:vAlign w:val="center"/>
            <w:hideMark/>
          </w:tcPr>
          <w:p w14:paraId="12557EFB" w14:textId="77777777" w:rsidR="00B773F1" w:rsidRPr="00663955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r w:rsidRPr="00486BB0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2,6</w:t>
            </w:r>
          </w:p>
        </w:tc>
      </w:tr>
    </w:tbl>
    <w:p w14:paraId="7AC373EF" w14:textId="77777777" w:rsidR="00B773F1" w:rsidRDefault="00B773F1" w:rsidP="00B773F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74381D9" w14:textId="77777777" w:rsidR="00B773F1" w:rsidRPr="008A0CFE" w:rsidRDefault="00B773F1" w:rsidP="00B773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Fuente: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* Dirección Financiera y Dirección de Gestión de Riesgos del GADM Portoviejo, 2020 ** INEC, 2010. </w:t>
      </w:r>
    </w:p>
    <w:p w14:paraId="33D93C92" w14:textId="77777777" w:rsidR="00B773F1" w:rsidRPr="008A0CFE" w:rsidRDefault="00B773F1" w:rsidP="00B773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Elaborado por: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Autores, 2020</w:t>
      </w:r>
    </w:p>
    <w:p w14:paraId="3A3AB0BD" w14:textId="03CE687C" w:rsidR="00B773F1" w:rsidRDefault="00B773F1"/>
    <w:p w14:paraId="208AFE64" w14:textId="0F4E15A7" w:rsidR="00B773F1" w:rsidRDefault="00B773F1"/>
    <w:p w14:paraId="11C0A478" w14:textId="77777777" w:rsidR="00B773F1" w:rsidRPr="00A76A35" w:rsidRDefault="00B773F1" w:rsidP="00B773F1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A35">
        <w:rPr>
          <w:rFonts w:ascii="Times New Roman" w:hAnsi="Times New Roman" w:cs="Times New Roman"/>
          <w:b/>
          <w:sz w:val="24"/>
          <w:szCs w:val="24"/>
        </w:rPr>
        <w:t xml:space="preserve">Tabla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76A35">
        <w:rPr>
          <w:rFonts w:ascii="Times New Roman" w:hAnsi="Times New Roman" w:cs="Times New Roman"/>
          <w:b/>
          <w:sz w:val="24"/>
          <w:szCs w:val="24"/>
        </w:rPr>
        <w:t>:</w:t>
      </w:r>
      <w:r w:rsidRPr="00A76A35">
        <w:rPr>
          <w:rFonts w:ascii="Times New Roman" w:hAnsi="Times New Roman" w:cs="Times New Roman"/>
          <w:sz w:val="24"/>
          <w:szCs w:val="24"/>
        </w:rPr>
        <w:t xml:space="preserve"> Inversión anual </w:t>
      </w:r>
      <w:r w:rsidRPr="00D77930">
        <w:rPr>
          <w:rFonts w:ascii="Times New Roman" w:hAnsi="Times New Roman" w:cs="Times New Roman"/>
          <w:sz w:val="24"/>
          <w:szCs w:val="24"/>
        </w:rPr>
        <w:t>municipal por áreas de</w:t>
      </w:r>
      <w:r w:rsidRPr="00A7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76A35">
        <w:rPr>
          <w:rFonts w:ascii="Times New Roman" w:hAnsi="Times New Roman" w:cs="Times New Roman"/>
          <w:sz w:val="24"/>
          <w:szCs w:val="24"/>
        </w:rPr>
        <w:t xml:space="preserve">estión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76A35">
        <w:rPr>
          <w:rFonts w:ascii="Times New Roman" w:hAnsi="Times New Roman" w:cs="Times New Roman"/>
          <w:sz w:val="24"/>
          <w:szCs w:val="24"/>
        </w:rPr>
        <w:t>iesgos en el GAD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6A35">
        <w:rPr>
          <w:rFonts w:ascii="Times New Roman" w:hAnsi="Times New Roman" w:cs="Times New Roman"/>
          <w:sz w:val="24"/>
          <w:szCs w:val="24"/>
        </w:rPr>
        <w:t xml:space="preserve"> Portoviejo</w:t>
      </w:r>
    </w:p>
    <w:tbl>
      <w:tblPr>
        <w:tblStyle w:val="Sombreadoclaro-nfasis11"/>
        <w:tblpPr w:leftFromText="141" w:rightFromText="141" w:vertAnchor="text" w:horzAnchor="margin" w:tblpY="179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1166"/>
        <w:gridCol w:w="818"/>
        <w:gridCol w:w="1134"/>
        <w:gridCol w:w="709"/>
        <w:gridCol w:w="709"/>
        <w:gridCol w:w="567"/>
        <w:gridCol w:w="1166"/>
        <w:gridCol w:w="818"/>
      </w:tblGrid>
      <w:tr w:rsidR="00B773F1" w:rsidRPr="009E531F" w14:paraId="512E6E21" w14:textId="77777777" w:rsidTr="005B0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vAlign w:val="center"/>
            <w:hideMark/>
          </w:tcPr>
          <w:p w14:paraId="26723FB3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8028109" w14:textId="77777777" w:rsidR="00B773F1" w:rsidRPr="009E531F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Análisis de riesgo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631CE2ED" w14:textId="77777777" w:rsidR="00B773F1" w:rsidRPr="009E531F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Reducción de riesgo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663A81D3" w14:textId="77777777" w:rsidR="00B773F1" w:rsidRPr="009E531F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Manejo de evento adverso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D9372C9" w14:textId="77777777" w:rsidR="00B773F1" w:rsidRPr="009E531F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Recuperación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4CA781E1" w14:textId="77777777" w:rsidR="00B773F1" w:rsidRPr="009E531F" w:rsidRDefault="00B773F1" w:rsidP="005B0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</w:tr>
      <w:tr w:rsidR="00B773F1" w:rsidRPr="009E531F" w14:paraId="0CA8234B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vAlign w:val="center"/>
            <w:hideMark/>
          </w:tcPr>
          <w:p w14:paraId="7D43B636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  <w:hideMark/>
          </w:tcPr>
          <w:p w14:paraId="29B227BC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Valor en USD</w:t>
            </w:r>
          </w:p>
        </w:tc>
        <w:tc>
          <w:tcPr>
            <w:tcW w:w="709" w:type="dxa"/>
            <w:vAlign w:val="center"/>
            <w:hideMark/>
          </w:tcPr>
          <w:p w14:paraId="32AB235A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166" w:type="dxa"/>
            <w:vAlign w:val="center"/>
            <w:hideMark/>
          </w:tcPr>
          <w:p w14:paraId="6A77F52E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Valor en USD</w:t>
            </w:r>
          </w:p>
        </w:tc>
        <w:tc>
          <w:tcPr>
            <w:tcW w:w="818" w:type="dxa"/>
            <w:vAlign w:val="center"/>
            <w:hideMark/>
          </w:tcPr>
          <w:p w14:paraId="1705DC7A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14:paraId="56E7E3F9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Valor en USD</w:t>
            </w:r>
          </w:p>
        </w:tc>
        <w:tc>
          <w:tcPr>
            <w:tcW w:w="709" w:type="dxa"/>
            <w:vAlign w:val="center"/>
            <w:hideMark/>
          </w:tcPr>
          <w:p w14:paraId="1921B561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709" w:type="dxa"/>
            <w:vAlign w:val="center"/>
            <w:hideMark/>
          </w:tcPr>
          <w:p w14:paraId="3D380F9F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Valor en USD</w:t>
            </w:r>
          </w:p>
        </w:tc>
        <w:tc>
          <w:tcPr>
            <w:tcW w:w="567" w:type="dxa"/>
            <w:vAlign w:val="center"/>
            <w:hideMark/>
          </w:tcPr>
          <w:p w14:paraId="2ABC283F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166" w:type="dxa"/>
            <w:vAlign w:val="center"/>
            <w:hideMark/>
          </w:tcPr>
          <w:p w14:paraId="0F60B86E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Valor en USD</w:t>
            </w:r>
          </w:p>
        </w:tc>
        <w:tc>
          <w:tcPr>
            <w:tcW w:w="818" w:type="dxa"/>
            <w:vAlign w:val="center"/>
            <w:hideMark/>
          </w:tcPr>
          <w:p w14:paraId="0C9008A4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%</w:t>
            </w:r>
          </w:p>
        </w:tc>
      </w:tr>
      <w:tr w:rsidR="00B773F1" w:rsidRPr="009E531F" w14:paraId="7A3291DE" w14:textId="77777777" w:rsidTr="005B08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  <w:hideMark/>
          </w:tcPr>
          <w:p w14:paraId="295EB210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14:paraId="30E1E408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14:paraId="64F5E70A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48AD4632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1034877,02</w:t>
            </w:r>
          </w:p>
        </w:tc>
        <w:tc>
          <w:tcPr>
            <w:tcW w:w="818" w:type="dxa"/>
            <w:vAlign w:val="center"/>
            <w:hideMark/>
          </w:tcPr>
          <w:p w14:paraId="3A6AC4A8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100,00</w:t>
            </w:r>
          </w:p>
        </w:tc>
        <w:tc>
          <w:tcPr>
            <w:tcW w:w="1134" w:type="dxa"/>
            <w:vAlign w:val="center"/>
            <w:hideMark/>
          </w:tcPr>
          <w:p w14:paraId="2D07285D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14:paraId="06A44EA2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14:paraId="68693DF8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14:paraId="287B37E0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1A1B4B9E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1034877,02</w:t>
            </w:r>
          </w:p>
        </w:tc>
        <w:tc>
          <w:tcPr>
            <w:tcW w:w="818" w:type="dxa"/>
            <w:vAlign w:val="center"/>
            <w:hideMark/>
          </w:tcPr>
          <w:p w14:paraId="2430AB91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100,00</w:t>
            </w:r>
          </w:p>
        </w:tc>
      </w:tr>
      <w:tr w:rsidR="00B773F1" w:rsidRPr="009E531F" w14:paraId="6A7B0171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  <w:hideMark/>
          </w:tcPr>
          <w:p w14:paraId="0112FAB2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50283AAE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166362,48</w:t>
            </w:r>
          </w:p>
        </w:tc>
        <w:tc>
          <w:tcPr>
            <w:tcW w:w="709" w:type="dxa"/>
            <w:vAlign w:val="center"/>
            <w:hideMark/>
          </w:tcPr>
          <w:p w14:paraId="32601202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14,31</w:t>
            </w:r>
          </w:p>
        </w:tc>
        <w:tc>
          <w:tcPr>
            <w:tcW w:w="1166" w:type="dxa"/>
            <w:vAlign w:val="center"/>
            <w:hideMark/>
          </w:tcPr>
          <w:p w14:paraId="2A9FB224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867408,00</w:t>
            </w:r>
          </w:p>
        </w:tc>
        <w:tc>
          <w:tcPr>
            <w:tcW w:w="818" w:type="dxa"/>
            <w:vAlign w:val="center"/>
            <w:hideMark/>
          </w:tcPr>
          <w:p w14:paraId="4B81D9A2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74,61</w:t>
            </w:r>
          </w:p>
        </w:tc>
        <w:tc>
          <w:tcPr>
            <w:tcW w:w="1134" w:type="dxa"/>
            <w:vAlign w:val="center"/>
            <w:hideMark/>
          </w:tcPr>
          <w:p w14:paraId="4F86EB6D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128850,00</w:t>
            </w:r>
          </w:p>
        </w:tc>
        <w:tc>
          <w:tcPr>
            <w:tcW w:w="709" w:type="dxa"/>
            <w:vAlign w:val="center"/>
            <w:hideMark/>
          </w:tcPr>
          <w:p w14:paraId="06028AB2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11,08</w:t>
            </w:r>
          </w:p>
        </w:tc>
        <w:tc>
          <w:tcPr>
            <w:tcW w:w="709" w:type="dxa"/>
            <w:vAlign w:val="center"/>
            <w:hideMark/>
          </w:tcPr>
          <w:p w14:paraId="2A8F76D4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14:paraId="5CCE6447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74E9D9A5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1162620,48</w:t>
            </w:r>
          </w:p>
        </w:tc>
        <w:tc>
          <w:tcPr>
            <w:tcW w:w="818" w:type="dxa"/>
            <w:vAlign w:val="center"/>
            <w:hideMark/>
          </w:tcPr>
          <w:p w14:paraId="4A4F97AF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100,00</w:t>
            </w:r>
          </w:p>
        </w:tc>
      </w:tr>
      <w:tr w:rsidR="00B773F1" w:rsidRPr="009E531F" w14:paraId="58FA7885" w14:textId="77777777" w:rsidTr="005B08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  <w:hideMark/>
          </w:tcPr>
          <w:p w14:paraId="0BF34956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14:paraId="0F511055" w14:textId="77777777" w:rsidR="00B773F1" w:rsidRPr="009E531F" w:rsidRDefault="00B773F1" w:rsidP="005B0852">
            <w:pPr>
              <w:ind w:firstLine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654614,30</w:t>
            </w:r>
          </w:p>
        </w:tc>
        <w:tc>
          <w:tcPr>
            <w:tcW w:w="709" w:type="dxa"/>
            <w:vAlign w:val="center"/>
            <w:hideMark/>
          </w:tcPr>
          <w:p w14:paraId="33EC472D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85,30</w:t>
            </w:r>
          </w:p>
        </w:tc>
        <w:tc>
          <w:tcPr>
            <w:tcW w:w="1166" w:type="dxa"/>
            <w:vAlign w:val="center"/>
            <w:hideMark/>
          </w:tcPr>
          <w:p w14:paraId="0A7348F7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66201,70</w:t>
            </w:r>
          </w:p>
        </w:tc>
        <w:tc>
          <w:tcPr>
            <w:tcW w:w="818" w:type="dxa"/>
            <w:vAlign w:val="center"/>
            <w:hideMark/>
          </w:tcPr>
          <w:p w14:paraId="03C2E761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8,63</w:t>
            </w:r>
          </w:p>
        </w:tc>
        <w:tc>
          <w:tcPr>
            <w:tcW w:w="1134" w:type="dxa"/>
            <w:vAlign w:val="center"/>
            <w:hideMark/>
          </w:tcPr>
          <w:p w14:paraId="673317D4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46650,00</w:t>
            </w:r>
          </w:p>
        </w:tc>
        <w:tc>
          <w:tcPr>
            <w:tcW w:w="709" w:type="dxa"/>
            <w:vAlign w:val="center"/>
            <w:hideMark/>
          </w:tcPr>
          <w:p w14:paraId="2E260492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6,08</w:t>
            </w:r>
          </w:p>
        </w:tc>
        <w:tc>
          <w:tcPr>
            <w:tcW w:w="709" w:type="dxa"/>
            <w:vAlign w:val="center"/>
            <w:hideMark/>
          </w:tcPr>
          <w:p w14:paraId="038A25BE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14:paraId="65D68F30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734001DF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767466,00</w:t>
            </w:r>
          </w:p>
        </w:tc>
        <w:tc>
          <w:tcPr>
            <w:tcW w:w="818" w:type="dxa"/>
            <w:vAlign w:val="center"/>
            <w:hideMark/>
          </w:tcPr>
          <w:p w14:paraId="7994B541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100,00</w:t>
            </w:r>
          </w:p>
        </w:tc>
      </w:tr>
      <w:tr w:rsidR="00B773F1" w:rsidRPr="009E531F" w14:paraId="39900152" w14:textId="77777777" w:rsidTr="005B0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  <w:hideMark/>
          </w:tcPr>
          <w:p w14:paraId="1BEE748A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25F98D07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14:paraId="71A4168A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3F019389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190451,60</w:t>
            </w:r>
          </w:p>
        </w:tc>
        <w:tc>
          <w:tcPr>
            <w:tcW w:w="818" w:type="dxa"/>
            <w:vAlign w:val="center"/>
            <w:hideMark/>
          </w:tcPr>
          <w:p w14:paraId="3A85BBB9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63,27</w:t>
            </w:r>
          </w:p>
        </w:tc>
        <w:tc>
          <w:tcPr>
            <w:tcW w:w="1134" w:type="dxa"/>
            <w:vAlign w:val="center"/>
            <w:hideMark/>
          </w:tcPr>
          <w:p w14:paraId="377F7097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110550,00</w:t>
            </w:r>
          </w:p>
        </w:tc>
        <w:tc>
          <w:tcPr>
            <w:tcW w:w="709" w:type="dxa"/>
            <w:vAlign w:val="center"/>
            <w:hideMark/>
          </w:tcPr>
          <w:p w14:paraId="2F0F162A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36,73</w:t>
            </w:r>
          </w:p>
        </w:tc>
        <w:tc>
          <w:tcPr>
            <w:tcW w:w="709" w:type="dxa"/>
            <w:vAlign w:val="center"/>
            <w:hideMark/>
          </w:tcPr>
          <w:p w14:paraId="70D223C5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14:paraId="48B32697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1BDC4999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301001,60</w:t>
            </w:r>
          </w:p>
        </w:tc>
        <w:tc>
          <w:tcPr>
            <w:tcW w:w="818" w:type="dxa"/>
            <w:vAlign w:val="center"/>
            <w:hideMark/>
          </w:tcPr>
          <w:p w14:paraId="6D0024C8" w14:textId="77777777" w:rsidR="00B773F1" w:rsidRPr="009E531F" w:rsidRDefault="00B773F1" w:rsidP="005B08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100,00</w:t>
            </w:r>
          </w:p>
        </w:tc>
      </w:tr>
      <w:tr w:rsidR="00B773F1" w:rsidRPr="009E531F" w14:paraId="283AAB61" w14:textId="77777777" w:rsidTr="005B08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  <w:hideMark/>
          </w:tcPr>
          <w:p w14:paraId="648F7995" w14:textId="77777777" w:rsidR="00B773F1" w:rsidRPr="009E531F" w:rsidRDefault="00B773F1" w:rsidP="005B08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E53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Prom</w:t>
            </w:r>
            <w:proofErr w:type="spellEnd"/>
            <w:r w:rsidRPr="009E531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6F383E50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205244,20</w:t>
            </w:r>
          </w:p>
        </w:tc>
        <w:tc>
          <w:tcPr>
            <w:tcW w:w="709" w:type="dxa"/>
            <w:vAlign w:val="center"/>
            <w:hideMark/>
          </w:tcPr>
          <w:p w14:paraId="5BBB868F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24,90</w:t>
            </w:r>
          </w:p>
        </w:tc>
        <w:tc>
          <w:tcPr>
            <w:tcW w:w="1166" w:type="dxa"/>
            <w:vAlign w:val="center"/>
            <w:hideMark/>
          </w:tcPr>
          <w:p w14:paraId="442613C2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539734,58</w:t>
            </w:r>
          </w:p>
        </w:tc>
        <w:tc>
          <w:tcPr>
            <w:tcW w:w="818" w:type="dxa"/>
            <w:vAlign w:val="center"/>
            <w:hideMark/>
          </w:tcPr>
          <w:p w14:paraId="03D0E454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61,63</w:t>
            </w:r>
          </w:p>
        </w:tc>
        <w:tc>
          <w:tcPr>
            <w:tcW w:w="1134" w:type="dxa"/>
            <w:vAlign w:val="center"/>
            <w:hideMark/>
          </w:tcPr>
          <w:p w14:paraId="7FD41EBD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71512,50</w:t>
            </w:r>
          </w:p>
        </w:tc>
        <w:tc>
          <w:tcPr>
            <w:tcW w:w="709" w:type="dxa"/>
            <w:vAlign w:val="center"/>
            <w:hideMark/>
          </w:tcPr>
          <w:p w14:paraId="07AC29A8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13,47</w:t>
            </w:r>
          </w:p>
        </w:tc>
        <w:tc>
          <w:tcPr>
            <w:tcW w:w="709" w:type="dxa"/>
            <w:vAlign w:val="center"/>
            <w:hideMark/>
          </w:tcPr>
          <w:p w14:paraId="72C6C235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14:paraId="4E156397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0,00</w:t>
            </w:r>
          </w:p>
        </w:tc>
        <w:tc>
          <w:tcPr>
            <w:tcW w:w="1166" w:type="dxa"/>
            <w:vAlign w:val="center"/>
            <w:hideMark/>
          </w:tcPr>
          <w:p w14:paraId="259A66E8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816491,28</w:t>
            </w:r>
          </w:p>
        </w:tc>
        <w:tc>
          <w:tcPr>
            <w:tcW w:w="818" w:type="dxa"/>
            <w:vAlign w:val="center"/>
            <w:hideMark/>
          </w:tcPr>
          <w:p w14:paraId="2F6A9DF6" w14:textId="77777777" w:rsidR="00B773F1" w:rsidRPr="009E531F" w:rsidRDefault="00B773F1" w:rsidP="005B0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E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100,00</w:t>
            </w:r>
          </w:p>
        </w:tc>
      </w:tr>
    </w:tbl>
    <w:p w14:paraId="6DCD66E0" w14:textId="77777777" w:rsidR="00B773F1" w:rsidRPr="008A0CFE" w:rsidRDefault="00B773F1" w:rsidP="00B773F1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BF099E1" w14:textId="77777777" w:rsidR="00B773F1" w:rsidRPr="008A0CFE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 xml:space="preserve">Fuente: </w:t>
      </w:r>
      <w:r w:rsidRPr="008A0CFE">
        <w:rPr>
          <w:rFonts w:ascii="Times New Roman" w:hAnsi="Times New Roman" w:cs="Times New Roman"/>
          <w:bCs/>
          <w:sz w:val="24"/>
          <w:szCs w:val="24"/>
        </w:rPr>
        <w:t>Dirección Financiera y Dirección de Gestión de Riesgos del GADM Portoviejo, 2020</w:t>
      </w:r>
    </w:p>
    <w:p w14:paraId="584C4C57" w14:textId="77777777" w:rsidR="00B773F1" w:rsidRPr="008A0CFE" w:rsidRDefault="00B773F1" w:rsidP="00B773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Elaborado por: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Autores, 2020</w:t>
      </w:r>
    </w:p>
    <w:p w14:paraId="02198C56" w14:textId="77777777" w:rsidR="00B773F1" w:rsidRDefault="00B773F1" w:rsidP="00B773F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92973D8" w14:textId="77777777" w:rsidR="00B773F1" w:rsidRDefault="00B773F1" w:rsidP="00B773F1">
      <w:pPr>
        <w:tabs>
          <w:tab w:val="left" w:pos="2445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DEC94" w14:textId="77777777" w:rsidR="00B773F1" w:rsidRDefault="00B773F1" w:rsidP="00B773F1">
      <w:pPr>
        <w:tabs>
          <w:tab w:val="left" w:pos="2445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228E6">
        <w:rPr>
          <w:rFonts w:ascii="Times New Roman" w:hAnsi="Times New Roman" w:cs="Times New Roman"/>
          <w:b/>
          <w:sz w:val="24"/>
          <w:szCs w:val="24"/>
        </w:rPr>
        <w:t>Gráfico 3.</w:t>
      </w:r>
      <w:r w:rsidRPr="009228E6">
        <w:rPr>
          <w:rFonts w:ascii="Times New Roman" w:hAnsi="Times New Roman" w:cs="Times New Roman"/>
          <w:sz w:val="24"/>
          <w:szCs w:val="24"/>
        </w:rPr>
        <w:t xml:space="preserve"> Inversión</w:t>
      </w:r>
      <w:r>
        <w:rPr>
          <w:rFonts w:ascii="Times New Roman" w:hAnsi="Times New Roman" w:cs="Times New Roman"/>
          <w:sz w:val="24"/>
          <w:szCs w:val="24"/>
        </w:rPr>
        <w:t xml:space="preserve"> (valores en USD)</w:t>
      </w:r>
      <w:r w:rsidRPr="004508E8">
        <w:rPr>
          <w:rFonts w:ascii="Times New Roman" w:hAnsi="Times New Roman" w:cs="Times New Roman"/>
          <w:sz w:val="24"/>
          <w:szCs w:val="24"/>
        </w:rPr>
        <w:t xml:space="preserve"> por 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4508E8">
        <w:rPr>
          <w:rFonts w:ascii="Times New Roman" w:hAnsi="Times New Roman" w:cs="Times New Roman"/>
          <w:sz w:val="24"/>
          <w:szCs w:val="24"/>
        </w:rPr>
        <w:t xml:space="preserve">rea de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508E8">
        <w:rPr>
          <w:rFonts w:ascii="Times New Roman" w:hAnsi="Times New Roman" w:cs="Times New Roman"/>
          <w:sz w:val="24"/>
          <w:szCs w:val="24"/>
        </w:rPr>
        <w:t xml:space="preserve">estión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508E8">
        <w:rPr>
          <w:rFonts w:ascii="Times New Roman" w:hAnsi="Times New Roman" w:cs="Times New Roman"/>
          <w:sz w:val="24"/>
          <w:szCs w:val="24"/>
        </w:rPr>
        <w:t>iesgos</w:t>
      </w:r>
      <w:r>
        <w:rPr>
          <w:rFonts w:ascii="Times New Roman" w:hAnsi="Times New Roman" w:cs="Times New Roman"/>
          <w:sz w:val="24"/>
          <w:szCs w:val="24"/>
        </w:rPr>
        <w:t xml:space="preserve"> en el GADM Portoviejo</w:t>
      </w:r>
    </w:p>
    <w:p w14:paraId="6679C2B4" w14:textId="77777777" w:rsidR="00B773F1" w:rsidRDefault="00B773F1" w:rsidP="00B773F1">
      <w:pPr>
        <w:tabs>
          <w:tab w:val="left" w:pos="2445"/>
        </w:tabs>
        <w:spacing w:after="240"/>
        <w:rPr>
          <w:noProof/>
          <w:lang w:val="es-ES" w:eastAsia="es-E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46473FB9" wp14:editId="36647D3D">
            <wp:simplePos x="0" y="0"/>
            <wp:positionH relativeFrom="column">
              <wp:posOffset>47625</wp:posOffset>
            </wp:positionH>
            <wp:positionV relativeFrom="paragraph">
              <wp:posOffset>5715</wp:posOffset>
            </wp:positionV>
            <wp:extent cx="5612130" cy="2800350"/>
            <wp:effectExtent l="0" t="0" r="7620" b="0"/>
            <wp:wrapNone/>
            <wp:docPr id="4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6DB39D0-63D5-4A43-A8FC-904483C2F7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682F6488" w14:textId="77777777" w:rsidR="00B773F1" w:rsidRDefault="00B773F1" w:rsidP="00B773F1">
      <w:pPr>
        <w:tabs>
          <w:tab w:val="left" w:pos="2445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14:paraId="7D3099E2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8C6332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0C644D0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14ABCA0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B331087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10DF30A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F31CB55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45249BA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E35A36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40883FD" w14:textId="77777777" w:rsidR="00B773F1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5BC477F" w14:textId="77777777" w:rsidR="00B773F1" w:rsidRPr="008A0CFE" w:rsidRDefault="00B773F1" w:rsidP="00B773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>Fuente:</w:t>
      </w:r>
      <w:r w:rsidRPr="008A0CFE">
        <w:rPr>
          <w:rFonts w:ascii="Times New Roman" w:hAnsi="Times New Roman" w:cs="Times New Roman"/>
          <w:bCs/>
          <w:sz w:val="24"/>
          <w:szCs w:val="24"/>
        </w:rPr>
        <w:t xml:space="preserve"> Dirección Financiera y Dirección de Gestión de Riesgos del GADM Portoviejo, 2020</w:t>
      </w:r>
    </w:p>
    <w:p w14:paraId="430F8AA9" w14:textId="77777777" w:rsidR="00B773F1" w:rsidRPr="008A0CFE" w:rsidRDefault="00B773F1" w:rsidP="00B773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CFE">
        <w:rPr>
          <w:rFonts w:ascii="Times New Roman" w:hAnsi="Times New Roman" w:cs="Times New Roman"/>
          <w:b/>
          <w:sz w:val="24"/>
          <w:szCs w:val="24"/>
        </w:rPr>
        <w:t xml:space="preserve">Elaborado por: </w:t>
      </w:r>
      <w:r w:rsidRPr="008A0CFE">
        <w:rPr>
          <w:rFonts w:ascii="Times New Roman" w:hAnsi="Times New Roman" w:cs="Times New Roman"/>
          <w:bCs/>
          <w:sz w:val="24"/>
          <w:szCs w:val="24"/>
        </w:rPr>
        <w:t>Autores, 2020.</w:t>
      </w:r>
    </w:p>
    <w:p w14:paraId="45371ECD" w14:textId="6EA569B3" w:rsidR="00B773F1" w:rsidRDefault="00B773F1"/>
    <w:p w14:paraId="5AD4DFF4" w14:textId="33A06B15" w:rsidR="00B773F1" w:rsidRDefault="00B773F1"/>
    <w:p w14:paraId="2C38DD7F" w14:textId="1C9614F3" w:rsidR="00B773F1" w:rsidRDefault="00B773F1"/>
    <w:p w14:paraId="44AE7084" w14:textId="731F414E" w:rsidR="00B773F1" w:rsidRDefault="00B773F1"/>
    <w:p w14:paraId="111946DF" w14:textId="77777777" w:rsidR="00B773F1" w:rsidRDefault="00B773F1"/>
    <w:sectPr w:rsidR="00B773F1" w:rsidSect="00B773F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1FE"/>
    <w:multiLevelType w:val="hybridMultilevel"/>
    <w:tmpl w:val="CE6E09BA"/>
    <w:lvl w:ilvl="0" w:tplc="0C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2688607E"/>
    <w:multiLevelType w:val="hybridMultilevel"/>
    <w:tmpl w:val="3C141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E07A2"/>
    <w:multiLevelType w:val="hybridMultilevel"/>
    <w:tmpl w:val="658E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44654"/>
    <w:multiLevelType w:val="hybridMultilevel"/>
    <w:tmpl w:val="A3348FBE"/>
    <w:lvl w:ilvl="0" w:tplc="0C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7347D"/>
    <w:multiLevelType w:val="hybridMultilevel"/>
    <w:tmpl w:val="2A8A6D08"/>
    <w:lvl w:ilvl="0" w:tplc="0C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F1"/>
    <w:rsid w:val="001F1133"/>
    <w:rsid w:val="00B7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88EC"/>
  <w15:chartTrackingRefBased/>
  <w15:docId w15:val="{C90D05F3-B83E-4348-AAC7-7E947A3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F1"/>
    <w:pPr>
      <w:spacing w:after="200" w:line="276" w:lineRule="auto"/>
    </w:pPr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3F1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B773F1"/>
    <w:pPr>
      <w:spacing w:after="0" w:line="240" w:lineRule="auto"/>
    </w:pPr>
    <w:rPr>
      <w:rFonts w:eastAsiaTheme="minorEastAsia"/>
      <w:color w:val="000000" w:themeColor="text1" w:themeShade="BF"/>
      <w:lang w:eastAsia="es-EC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B773F1"/>
    <w:pPr>
      <w:spacing w:after="0" w:line="240" w:lineRule="auto"/>
    </w:pPr>
    <w:rPr>
      <w:rFonts w:eastAsiaTheme="minorEastAsia"/>
      <w:color w:val="2F5496" w:themeColor="accent1" w:themeShade="BF"/>
      <w:lang w:eastAsia="es-EC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chart" Target="charts/chart2.xml"/><Relationship Id="rId5" Type="http://schemas.openxmlformats.org/officeDocument/2006/relationships/diagramData" Target="diagrams/data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Consulta\tesis\jasb\octubre_20\Datos_Art_Jose%20Salaz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ARTICULO\percepcion_NVO\final_jasb_julio2020\MARZO_2021_JASBA_ART\Datos_Art_Jose%20Salaz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Ingreso_Egreso!$B$4</c:f>
              <c:strCache>
                <c:ptCount val="1"/>
                <c:pt idx="0">
                  <c:v>Ingreso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Ingreso_Egreso!$A$5:$A$8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Ingreso_Egreso!$B$5:$B$8</c:f>
              <c:numCache>
                <c:formatCode>0.00</c:formatCode>
                <c:ptCount val="4"/>
                <c:pt idx="0">
                  <c:v>563072.52</c:v>
                </c:pt>
                <c:pt idx="1">
                  <c:v>763787.37</c:v>
                </c:pt>
                <c:pt idx="2">
                  <c:v>875186.87</c:v>
                </c:pt>
                <c:pt idx="3">
                  <c:v>813084.45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9-4628-A413-E39117088E52}"/>
            </c:ext>
          </c:extLst>
        </c:ser>
        <c:ser>
          <c:idx val="1"/>
          <c:order val="1"/>
          <c:tx>
            <c:strRef>
              <c:f>Ingreso_Egreso!$C$4</c:f>
              <c:strCache>
                <c:ptCount val="1"/>
                <c:pt idx="0">
                  <c:v>Egreso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Ingreso_Egreso!$A$5:$A$8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Ingreso_Egreso!$C$5:$C$8</c:f>
              <c:numCache>
                <c:formatCode>0.00</c:formatCode>
                <c:ptCount val="4"/>
                <c:pt idx="0">
                  <c:v>1034877.02</c:v>
                </c:pt>
                <c:pt idx="1">
                  <c:v>1162620.48</c:v>
                </c:pt>
                <c:pt idx="2">
                  <c:v>767466</c:v>
                </c:pt>
                <c:pt idx="3">
                  <c:v>257527.6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79-4628-A413-E39117088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3194736"/>
        <c:axId val="728451696"/>
      </c:barChart>
      <c:catAx>
        <c:axId val="62319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728451696"/>
        <c:crosses val="autoZero"/>
        <c:auto val="1"/>
        <c:lblAlgn val="ctr"/>
        <c:lblOffset val="100"/>
        <c:noMultiLvlLbl val="0"/>
      </c:catAx>
      <c:valAx>
        <c:axId val="72845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62319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Inversion!$B$40</c:f>
              <c:strCache>
                <c:ptCount val="1"/>
                <c:pt idx="0">
                  <c:v>Análisis de riesgo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Inversion!$A$41:$A$44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Inversion!$B$41:$B$44</c:f>
              <c:numCache>
                <c:formatCode>0.0</c:formatCode>
                <c:ptCount val="4"/>
                <c:pt idx="0">
                  <c:v>0</c:v>
                </c:pt>
                <c:pt idx="1">
                  <c:v>14.30926797367272</c:v>
                </c:pt>
                <c:pt idx="2">
                  <c:v>85.29554403713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4F-4EC9-BEAE-D6C12EC3638C}"/>
            </c:ext>
          </c:extLst>
        </c:ser>
        <c:ser>
          <c:idx val="1"/>
          <c:order val="1"/>
          <c:tx>
            <c:strRef>
              <c:f>Inversion!$C$40</c:f>
              <c:strCache>
                <c:ptCount val="1"/>
                <c:pt idx="0">
                  <c:v>Reducción del riesgo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Inversion!$A$41:$A$44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Inversion!$C$41:$C$44</c:f>
              <c:numCache>
                <c:formatCode>0.0</c:formatCode>
                <c:ptCount val="4"/>
                <c:pt idx="0">
                  <c:v>100</c:v>
                </c:pt>
                <c:pt idx="1">
                  <c:v>74.608009657631342</c:v>
                </c:pt>
                <c:pt idx="2">
                  <c:v>8.6260107939635109</c:v>
                </c:pt>
                <c:pt idx="3">
                  <c:v>57.072562319533915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4F-4EC9-BEAE-D6C12EC3638C}"/>
            </c:ext>
          </c:extLst>
        </c:ser>
        <c:ser>
          <c:idx val="2"/>
          <c:order val="2"/>
          <c:tx>
            <c:strRef>
              <c:f>Inversion!$D$40</c:f>
              <c:strCache>
                <c:ptCount val="1"/>
                <c:pt idx="0">
                  <c:v>Manejo de evento adverso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Inversion!$A$41:$A$44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Inversion!$D$41:$D$44</c:f>
              <c:numCache>
                <c:formatCode>0.0</c:formatCode>
                <c:ptCount val="4"/>
                <c:pt idx="0">
                  <c:v>0</c:v>
                </c:pt>
                <c:pt idx="1">
                  <c:v>11.082722368695933</c:v>
                </c:pt>
                <c:pt idx="2">
                  <c:v>6.0784451689065051</c:v>
                </c:pt>
                <c:pt idx="3">
                  <c:v>42.927437680466085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4F-4EC9-BEAE-D6C12EC3638C}"/>
            </c:ext>
          </c:extLst>
        </c:ser>
        <c:ser>
          <c:idx val="3"/>
          <c:order val="3"/>
          <c:tx>
            <c:strRef>
              <c:f>Inversion!$E$40</c:f>
              <c:strCache>
                <c:ptCount val="1"/>
                <c:pt idx="0">
                  <c:v>Recuperación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Inversion!$A$41:$A$44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Inversion!$E$41:$E$44</c:f>
              <c:numCache>
                <c:formatCode>0.0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4F-4EC9-BEAE-D6C12EC36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804224"/>
        <c:axId val="134815744"/>
      </c:barChart>
      <c:catAx>
        <c:axId val="13480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134815744"/>
        <c:crosses val="autoZero"/>
        <c:auto val="1"/>
        <c:lblAlgn val="ctr"/>
        <c:lblOffset val="100"/>
        <c:noMultiLvlLbl val="0"/>
      </c:catAx>
      <c:valAx>
        <c:axId val="13481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13480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D0961E-FC8A-40D4-B899-4DE95424C0D0}" type="doc">
      <dgm:prSet loTypeId="urn:microsoft.com/office/officeart/2005/8/layout/cycle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C"/>
        </a:p>
      </dgm:t>
    </dgm:pt>
    <dgm:pt modelId="{FE4B9732-5495-4F50-9E63-ADCE50D6FE89}">
      <dgm:prSet phldrT="[Texto]"/>
      <dgm:spPr/>
      <dgm:t>
        <a:bodyPr/>
        <a:lstStyle/>
        <a:p>
          <a:r>
            <a:rPr lang="es-EC">
              <a:latin typeface="Times New Roman" panose="02020603050405020304" pitchFamily="18" charset="0"/>
              <a:cs typeface="Times New Roman" panose="02020603050405020304" pitchFamily="18" charset="0"/>
            </a:rPr>
            <a:t>Análisis de Riesgo</a:t>
          </a:r>
        </a:p>
      </dgm:t>
    </dgm:pt>
    <dgm:pt modelId="{111B1930-0DD6-486D-B401-8C8669FB6569}" type="parTrans" cxnId="{180D6173-4F06-4C7C-9BE5-FBADA5CE38A1}">
      <dgm:prSet/>
      <dgm:spPr/>
      <dgm:t>
        <a:bodyPr/>
        <a:lstStyle/>
        <a:p>
          <a:endParaRPr lang="es-EC"/>
        </a:p>
      </dgm:t>
    </dgm:pt>
    <dgm:pt modelId="{36F16446-9E39-4830-8DCD-86339898BB6F}" type="sibTrans" cxnId="{180D6173-4F06-4C7C-9BE5-FBADA5CE38A1}">
      <dgm:prSet/>
      <dgm:spPr/>
      <dgm:t>
        <a:bodyPr/>
        <a:lstStyle/>
        <a:p>
          <a:endParaRPr lang="es-EC"/>
        </a:p>
      </dgm:t>
    </dgm:pt>
    <dgm:pt modelId="{91A1800F-8A98-4BD6-9477-78CE07DEF685}">
      <dgm:prSet phldrT="[Texto]"/>
      <dgm:spPr/>
      <dgm:t>
        <a:bodyPr/>
        <a:lstStyle/>
        <a:p>
          <a:r>
            <a:rPr lang="es-EC">
              <a:latin typeface="Times New Roman" panose="02020603050405020304" pitchFamily="18" charset="0"/>
              <a:cs typeface="Times New Roman" panose="02020603050405020304" pitchFamily="18" charset="0"/>
            </a:rPr>
            <a:t>Reducción de Riesgo</a:t>
          </a:r>
        </a:p>
      </dgm:t>
    </dgm:pt>
    <dgm:pt modelId="{34B7D4D8-3A00-4958-BAC3-5FCFDA0D2DA0}" type="parTrans" cxnId="{BE129E71-775C-418F-813B-268B86B93C2B}">
      <dgm:prSet/>
      <dgm:spPr/>
      <dgm:t>
        <a:bodyPr/>
        <a:lstStyle/>
        <a:p>
          <a:endParaRPr lang="es-EC"/>
        </a:p>
      </dgm:t>
    </dgm:pt>
    <dgm:pt modelId="{3171974F-C5D2-480A-B16C-27981A96CCE7}" type="sibTrans" cxnId="{BE129E71-775C-418F-813B-268B86B93C2B}">
      <dgm:prSet/>
      <dgm:spPr/>
      <dgm:t>
        <a:bodyPr/>
        <a:lstStyle/>
        <a:p>
          <a:endParaRPr lang="es-EC"/>
        </a:p>
      </dgm:t>
    </dgm:pt>
    <dgm:pt modelId="{59FE9551-045A-475D-91D2-45A5226A0D63}">
      <dgm:prSet phldrT="[Texto]"/>
      <dgm:spPr/>
      <dgm:t>
        <a:bodyPr/>
        <a:lstStyle/>
        <a:p>
          <a:r>
            <a:rPr lang="es-EC">
              <a:latin typeface="Times New Roman" panose="02020603050405020304" pitchFamily="18" charset="0"/>
              <a:cs typeface="Times New Roman" panose="02020603050405020304" pitchFamily="18" charset="0"/>
            </a:rPr>
            <a:t>Manejo de Eventos Adversos</a:t>
          </a:r>
        </a:p>
      </dgm:t>
    </dgm:pt>
    <dgm:pt modelId="{E347093C-799F-4563-9C27-078F844FDCEF}" type="parTrans" cxnId="{3D97AD64-6754-47BA-BE95-40A139789587}">
      <dgm:prSet/>
      <dgm:spPr/>
      <dgm:t>
        <a:bodyPr/>
        <a:lstStyle/>
        <a:p>
          <a:endParaRPr lang="es-EC"/>
        </a:p>
      </dgm:t>
    </dgm:pt>
    <dgm:pt modelId="{0C02CD96-9B3C-419A-8790-3EE0B3C7B95A}" type="sibTrans" cxnId="{3D97AD64-6754-47BA-BE95-40A139789587}">
      <dgm:prSet/>
      <dgm:spPr/>
      <dgm:t>
        <a:bodyPr/>
        <a:lstStyle/>
        <a:p>
          <a:endParaRPr lang="es-EC"/>
        </a:p>
      </dgm:t>
    </dgm:pt>
    <dgm:pt modelId="{9B44250B-966B-48D5-994B-EC4D7CB8B140}">
      <dgm:prSet phldrT="[Texto]"/>
      <dgm:spPr/>
      <dgm:t>
        <a:bodyPr/>
        <a:lstStyle/>
        <a:p>
          <a:r>
            <a:rPr lang="es-EC">
              <a:latin typeface="Times New Roman" panose="02020603050405020304" pitchFamily="18" charset="0"/>
              <a:cs typeface="Times New Roman" panose="02020603050405020304" pitchFamily="18" charset="0"/>
            </a:rPr>
            <a:t>Recuperación</a:t>
          </a:r>
        </a:p>
      </dgm:t>
    </dgm:pt>
    <dgm:pt modelId="{A540EBE2-E6BC-4486-863C-383D6280067E}" type="parTrans" cxnId="{5F1CEF4B-DABC-4379-AF48-92164E198468}">
      <dgm:prSet/>
      <dgm:spPr/>
      <dgm:t>
        <a:bodyPr/>
        <a:lstStyle/>
        <a:p>
          <a:endParaRPr lang="es-EC"/>
        </a:p>
      </dgm:t>
    </dgm:pt>
    <dgm:pt modelId="{C6C6A392-4B6C-4B00-A347-71CA11B06993}" type="sibTrans" cxnId="{5F1CEF4B-DABC-4379-AF48-92164E198468}">
      <dgm:prSet/>
      <dgm:spPr/>
      <dgm:t>
        <a:bodyPr/>
        <a:lstStyle/>
        <a:p>
          <a:endParaRPr lang="es-EC"/>
        </a:p>
      </dgm:t>
    </dgm:pt>
    <dgm:pt modelId="{BAB096B8-DBC0-4525-A5DD-65183DA340D6}" type="pres">
      <dgm:prSet presAssocID="{5ED0961E-FC8A-40D4-B899-4DE95424C0D0}" presName="cycle" presStyleCnt="0">
        <dgm:presLayoutVars>
          <dgm:dir/>
          <dgm:resizeHandles val="exact"/>
        </dgm:presLayoutVars>
      </dgm:prSet>
      <dgm:spPr/>
    </dgm:pt>
    <dgm:pt modelId="{DD321EF2-DFCF-4B0A-8A6A-DCA788E1C203}" type="pres">
      <dgm:prSet presAssocID="{FE4B9732-5495-4F50-9E63-ADCE50D6FE89}" presName="node" presStyleLbl="node1" presStyleIdx="0" presStyleCnt="4">
        <dgm:presLayoutVars>
          <dgm:bulletEnabled val="1"/>
        </dgm:presLayoutVars>
      </dgm:prSet>
      <dgm:spPr/>
    </dgm:pt>
    <dgm:pt modelId="{CEC2C68F-6F91-4DFD-B02F-2500169050FD}" type="pres">
      <dgm:prSet presAssocID="{FE4B9732-5495-4F50-9E63-ADCE50D6FE89}" presName="spNode" presStyleCnt="0"/>
      <dgm:spPr/>
    </dgm:pt>
    <dgm:pt modelId="{88456CB4-16AF-4234-BD1C-3D2646265B1C}" type="pres">
      <dgm:prSet presAssocID="{36F16446-9E39-4830-8DCD-86339898BB6F}" presName="sibTrans" presStyleLbl="sibTrans1D1" presStyleIdx="0" presStyleCnt="4"/>
      <dgm:spPr/>
    </dgm:pt>
    <dgm:pt modelId="{558DAECA-2965-4CA9-9769-262964531402}" type="pres">
      <dgm:prSet presAssocID="{91A1800F-8A98-4BD6-9477-78CE07DEF685}" presName="node" presStyleLbl="node1" presStyleIdx="1" presStyleCnt="4">
        <dgm:presLayoutVars>
          <dgm:bulletEnabled val="1"/>
        </dgm:presLayoutVars>
      </dgm:prSet>
      <dgm:spPr/>
    </dgm:pt>
    <dgm:pt modelId="{EAC13C8F-BC0A-4F78-9CA1-CEC8BCC72F25}" type="pres">
      <dgm:prSet presAssocID="{91A1800F-8A98-4BD6-9477-78CE07DEF685}" presName="spNode" presStyleCnt="0"/>
      <dgm:spPr/>
    </dgm:pt>
    <dgm:pt modelId="{11276D38-1460-4479-AE40-3A836F46ED17}" type="pres">
      <dgm:prSet presAssocID="{3171974F-C5D2-480A-B16C-27981A96CCE7}" presName="sibTrans" presStyleLbl="sibTrans1D1" presStyleIdx="1" presStyleCnt="4"/>
      <dgm:spPr/>
    </dgm:pt>
    <dgm:pt modelId="{FF2B938F-5FD6-44A7-BA41-F76CBD676AEA}" type="pres">
      <dgm:prSet presAssocID="{59FE9551-045A-475D-91D2-45A5226A0D63}" presName="node" presStyleLbl="node1" presStyleIdx="2" presStyleCnt="4">
        <dgm:presLayoutVars>
          <dgm:bulletEnabled val="1"/>
        </dgm:presLayoutVars>
      </dgm:prSet>
      <dgm:spPr/>
    </dgm:pt>
    <dgm:pt modelId="{2B725176-1954-4730-B4E7-007473CC8B28}" type="pres">
      <dgm:prSet presAssocID="{59FE9551-045A-475D-91D2-45A5226A0D63}" presName="spNode" presStyleCnt="0"/>
      <dgm:spPr/>
    </dgm:pt>
    <dgm:pt modelId="{8C4E8C02-63D1-45F2-B9D7-D5387B5FCF26}" type="pres">
      <dgm:prSet presAssocID="{0C02CD96-9B3C-419A-8790-3EE0B3C7B95A}" presName="sibTrans" presStyleLbl="sibTrans1D1" presStyleIdx="2" presStyleCnt="4"/>
      <dgm:spPr/>
    </dgm:pt>
    <dgm:pt modelId="{C9BDC126-3DED-4707-889E-5BFBE9F8B6F3}" type="pres">
      <dgm:prSet presAssocID="{9B44250B-966B-48D5-994B-EC4D7CB8B140}" presName="node" presStyleLbl="node1" presStyleIdx="3" presStyleCnt="4">
        <dgm:presLayoutVars>
          <dgm:bulletEnabled val="1"/>
        </dgm:presLayoutVars>
      </dgm:prSet>
      <dgm:spPr/>
    </dgm:pt>
    <dgm:pt modelId="{DCBC703B-3F9D-43C5-B326-BFF101A3F705}" type="pres">
      <dgm:prSet presAssocID="{9B44250B-966B-48D5-994B-EC4D7CB8B140}" presName="spNode" presStyleCnt="0"/>
      <dgm:spPr/>
    </dgm:pt>
    <dgm:pt modelId="{E2A5E37B-1016-4384-8B9B-940E3767BDC9}" type="pres">
      <dgm:prSet presAssocID="{C6C6A392-4B6C-4B00-A347-71CA11B06993}" presName="sibTrans" presStyleLbl="sibTrans1D1" presStyleIdx="3" presStyleCnt="4"/>
      <dgm:spPr/>
    </dgm:pt>
  </dgm:ptLst>
  <dgm:cxnLst>
    <dgm:cxn modelId="{D91B030A-FA38-483C-A315-4C8DBC60EC59}" type="presOf" srcId="{59FE9551-045A-475D-91D2-45A5226A0D63}" destId="{FF2B938F-5FD6-44A7-BA41-F76CBD676AEA}" srcOrd="0" destOrd="0" presId="urn:microsoft.com/office/officeart/2005/8/layout/cycle5"/>
    <dgm:cxn modelId="{CA96C60B-1708-48B6-90F7-A12BF10AEA31}" type="presOf" srcId="{C6C6A392-4B6C-4B00-A347-71CA11B06993}" destId="{E2A5E37B-1016-4384-8B9B-940E3767BDC9}" srcOrd="0" destOrd="0" presId="urn:microsoft.com/office/officeart/2005/8/layout/cycle5"/>
    <dgm:cxn modelId="{633EC11A-13D3-4132-88BA-AF206E933578}" type="presOf" srcId="{9B44250B-966B-48D5-994B-EC4D7CB8B140}" destId="{C9BDC126-3DED-4707-889E-5BFBE9F8B6F3}" srcOrd="0" destOrd="0" presId="urn:microsoft.com/office/officeart/2005/8/layout/cycle5"/>
    <dgm:cxn modelId="{5A06CB27-F7BB-483A-AD21-4329A3B36221}" type="presOf" srcId="{5ED0961E-FC8A-40D4-B899-4DE95424C0D0}" destId="{BAB096B8-DBC0-4525-A5DD-65183DA340D6}" srcOrd="0" destOrd="0" presId="urn:microsoft.com/office/officeart/2005/8/layout/cycle5"/>
    <dgm:cxn modelId="{3D97AD64-6754-47BA-BE95-40A139789587}" srcId="{5ED0961E-FC8A-40D4-B899-4DE95424C0D0}" destId="{59FE9551-045A-475D-91D2-45A5226A0D63}" srcOrd="2" destOrd="0" parTransId="{E347093C-799F-4563-9C27-078F844FDCEF}" sibTransId="{0C02CD96-9B3C-419A-8790-3EE0B3C7B95A}"/>
    <dgm:cxn modelId="{5F1CEF4B-DABC-4379-AF48-92164E198468}" srcId="{5ED0961E-FC8A-40D4-B899-4DE95424C0D0}" destId="{9B44250B-966B-48D5-994B-EC4D7CB8B140}" srcOrd="3" destOrd="0" parTransId="{A540EBE2-E6BC-4486-863C-383D6280067E}" sibTransId="{C6C6A392-4B6C-4B00-A347-71CA11B06993}"/>
    <dgm:cxn modelId="{BE129E71-775C-418F-813B-268B86B93C2B}" srcId="{5ED0961E-FC8A-40D4-B899-4DE95424C0D0}" destId="{91A1800F-8A98-4BD6-9477-78CE07DEF685}" srcOrd="1" destOrd="0" parTransId="{34B7D4D8-3A00-4958-BAC3-5FCFDA0D2DA0}" sibTransId="{3171974F-C5D2-480A-B16C-27981A96CCE7}"/>
    <dgm:cxn modelId="{180D6173-4F06-4C7C-9BE5-FBADA5CE38A1}" srcId="{5ED0961E-FC8A-40D4-B899-4DE95424C0D0}" destId="{FE4B9732-5495-4F50-9E63-ADCE50D6FE89}" srcOrd="0" destOrd="0" parTransId="{111B1930-0DD6-486D-B401-8C8669FB6569}" sibTransId="{36F16446-9E39-4830-8DCD-86339898BB6F}"/>
    <dgm:cxn modelId="{F8484B79-07EA-4027-ABA5-BB10A44A060C}" type="presOf" srcId="{91A1800F-8A98-4BD6-9477-78CE07DEF685}" destId="{558DAECA-2965-4CA9-9769-262964531402}" srcOrd="0" destOrd="0" presId="urn:microsoft.com/office/officeart/2005/8/layout/cycle5"/>
    <dgm:cxn modelId="{1DB64A83-A560-42A1-8CE0-7D4A51575DA7}" type="presOf" srcId="{0C02CD96-9B3C-419A-8790-3EE0B3C7B95A}" destId="{8C4E8C02-63D1-45F2-B9D7-D5387B5FCF26}" srcOrd="0" destOrd="0" presId="urn:microsoft.com/office/officeart/2005/8/layout/cycle5"/>
    <dgm:cxn modelId="{355856CA-1DEB-4B5A-AE54-9A797D28295C}" type="presOf" srcId="{FE4B9732-5495-4F50-9E63-ADCE50D6FE89}" destId="{DD321EF2-DFCF-4B0A-8A6A-DCA788E1C203}" srcOrd="0" destOrd="0" presId="urn:microsoft.com/office/officeart/2005/8/layout/cycle5"/>
    <dgm:cxn modelId="{6E0714EB-CDE4-41FA-A542-47646F7A2A9D}" type="presOf" srcId="{3171974F-C5D2-480A-B16C-27981A96CCE7}" destId="{11276D38-1460-4479-AE40-3A836F46ED17}" srcOrd="0" destOrd="0" presId="urn:microsoft.com/office/officeart/2005/8/layout/cycle5"/>
    <dgm:cxn modelId="{C5B7C4EF-8A68-4064-B84D-517D8724A497}" type="presOf" srcId="{36F16446-9E39-4830-8DCD-86339898BB6F}" destId="{88456CB4-16AF-4234-BD1C-3D2646265B1C}" srcOrd="0" destOrd="0" presId="urn:microsoft.com/office/officeart/2005/8/layout/cycle5"/>
    <dgm:cxn modelId="{82CAF0A3-4B13-4F93-970E-76F792902206}" type="presParOf" srcId="{BAB096B8-DBC0-4525-A5DD-65183DA340D6}" destId="{DD321EF2-DFCF-4B0A-8A6A-DCA788E1C203}" srcOrd="0" destOrd="0" presId="urn:microsoft.com/office/officeart/2005/8/layout/cycle5"/>
    <dgm:cxn modelId="{5D1348F7-B068-4521-9A03-47B70D8B91ED}" type="presParOf" srcId="{BAB096B8-DBC0-4525-A5DD-65183DA340D6}" destId="{CEC2C68F-6F91-4DFD-B02F-2500169050FD}" srcOrd="1" destOrd="0" presId="urn:microsoft.com/office/officeart/2005/8/layout/cycle5"/>
    <dgm:cxn modelId="{C8E1D265-059B-4C48-93EC-5701F83E6182}" type="presParOf" srcId="{BAB096B8-DBC0-4525-A5DD-65183DA340D6}" destId="{88456CB4-16AF-4234-BD1C-3D2646265B1C}" srcOrd="2" destOrd="0" presId="urn:microsoft.com/office/officeart/2005/8/layout/cycle5"/>
    <dgm:cxn modelId="{C4A27B4D-B378-4179-B208-28D762052786}" type="presParOf" srcId="{BAB096B8-DBC0-4525-A5DD-65183DA340D6}" destId="{558DAECA-2965-4CA9-9769-262964531402}" srcOrd="3" destOrd="0" presId="urn:microsoft.com/office/officeart/2005/8/layout/cycle5"/>
    <dgm:cxn modelId="{42C19800-F155-4EFC-97CE-E18D1191BE71}" type="presParOf" srcId="{BAB096B8-DBC0-4525-A5DD-65183DA340D6}" destId="{EAC13C8F-BC0A-4F78-9CA1-CEC8BCC72F25}" srcOrd="4" destOrd="0" presId="urn:microsoft.com/office/officeart/2005/8/layout/cycle5"/>
    <dgm:cxn modelId="{E7E8F8AC-36AA-4982-897E-A0C1BBEE1823}" type="presParOf" srcId="{BAB096B8-DBC0-4525-A5DD-65183DA340D6}" destId="{11276D38-1460-4479-AE40-3A836F46ED17}" srcOrd="5" destOrd="0" presId="urn:microsoft.com/office/officeart/2005/8/layout/cycle5"/>
    <dgm:cxn modelId="{3D485049-7A78-4032-A74C-61A3E907CF24}" type="presParOf" srcId="{BAB096B8-DBC0-4525-A5DD-65183DA340D6}" destId="{FF2B938F-5FD6-44A7-BA41-F76CBD676AEA}" srcOrd="6" destOrd="0" presId="urn:microsoft.com/office/officeart/2005/8/layout/cycle5"/>
    <dgm:cxn modelId="{1ACF269A-4C43-4011-AB8C-E3570C2CE85C}" type="presParOf" srcId="{BAB096B8-DBC0-4525-A5DD-65183DA340D6}" destId="{2B725176-1954-4730-B4E7-007473CC8B28}" srcOrd="7" destOrd="0" presId="urn:microsoft.com/office/officeart/2005/8/layout/cycle5"/>
    <dgm:cxn modelId="{FE612487-1AD0-4A6B-BA46-8C77F919E9C6}" type="presParOf" srcId="{BAB096B8-DBC0-4525-A5DD-65183DA340D6}" destId="{8C4E8C02-63D1-45F2-B9D7-D5387B5FCF26}" srcOrd="8" destOrd="0" presId="urn:microsoft.com/office/officeart/2005/8/layout/cycle5"/>
    <dgm:cxn modelId="{23D554EE-38A4-4285-8986-46BF70F860FD}" type="presParOf" srcId="{BAB096B8-DBC0-4525-A5DD-65183DA340D6}" destId="{C9BDC126-3DED-4707-889E-5BFBE9F8B6F3}" srcOrd="9" destOrd="0" presId="urn:microsoft.com/office/officeart/2005/8/layout/cycle5"/>
    <dgm:cxn modelId="{22217D96-5C53-4819-B7CE-D2B6F21195BC}" type="presParOf" srcId="{BAB096B8-DBC0-4525-A5DD-65183DA340D6}" destId="{DCBC703B-3F9D-43C5-B326-BFF101A3F705}" srcOrd="10" destOrd="0" presId="urn:microsoft.com/office/officeart/2005/8/layout/cycle5"/>
    <dgm:cxn modelId="{D01DC69F-11BE-4DD9-97A8-F7A8DBDA0B6E}" type="presParOf" srcId="{BAB096B8-DBC0-4525-A5DD-65183DA340D6}" destId="{E2A5E37B-1016-4384-8B9B-940E3767BDC9}" srcOrd="11" destOrd="0" presId="urn:microsoft.com/office/officeart/2005/8/layout/cycle5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321EF2-DFCF-4B0A-8A6A-DCA788E1C203}">
      <dsp:nvSpPr>
        <dsp:cNvPr id="0" name=""/>
        <dsp:cNvSpPr/>
      </dsp:nvSpPr>
      <dsp:spPr>
        <a:xfrm>
          <a:off x="2214116" y="818"/>
          <a:ext cx="1058167" cy="6878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Análisis de Riesgo</a:t>
          </a:r>
        </a:p>
      </dsp:txBody>
      <dsp:txXfrm>
        <a:off x="2247692" y="34394"/>
        <a:ext cx="991015" cy="620657"/>
      </dsp:txXfrm>
    </dsp:sp>
    <dsp:sp modelId="{88456CB4-16AF-4234-BD1C-3D2646265B1C}">
      <dsp:nvSpPr>
        <dsp:cNvPr id="0" name=""/>
        <dsp:cNvSpPr/>
      </dsp:nvSpPr>
      <dsp:spPr>
        <a:xfrm>
          <a:off x="1606786" y="344723"/>
          <a:ext cx="2272827" cy="2272827"/>
        </a:xfrm>
        <a:custGeom>
          <a:avLst/>
          <a:gdLst/>
          <a:ahLst/>
          <a:cxnLst/>
          <a:rect l="0" t="0" r="0" b="0"/>
          <a:pathLst>
            <a:path>
              <a:moveTo>
                <a:pt x="1811593" y="222319"/>
              </a:moveTo>
              <a:arcTo wR="1136413" hR="1136413" stAng="18387046" swAng="1633837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DAECA-2965-4CA9-9769-262964531402}">
      <dsp:nvSpPr>
        <dsp:cNvPr id="0" name=""/>
        <dsp:cNvSpPr/>
      </dsp:nvSpPr>
      <dsp:spPr>
        <a:xfrm>
          <a:off x="3350529" y="1137232"/>
          <a:ext cx="1058167" cy="6878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Reducción de Riesgo</a:t>
          </a:r>
        </a:p>
      </dsp:txBody>
      <dsp:txXfrm>
        <a:off x="3384105" y="1170808"/>
        <a:ext cx="991015" cy="620657"/>
      </dsp:txXfrm>
    </dsp:sp>
    <dsp:sp modelId="{11276D38-1460-4479-AE40-3A836F46ED17}">
      <dsp:nvSpPr>
        <dsp:cNvPr id="0" name=""/>
        <dsp:cNvSpPr/>
      </dsp:nvSpPr>
      <dsp:spPr>
        <a:xfrm>
          <a:off x="1606786" y="344723"/>
          <a:ext cx="2272827" cy="2272827"/>
        </a:xfrm>
        <a:custGeom>
          <a:avLst/>
          <a:gdLst/>
          <a:ahLst/>
          <a:cxnLst/>
          <a:rect l="0" t="0" r="0" b="0"/>
          <a:pathLst>
            <a:path>
              <a:moveTo>
                <a:pt x="2155029" y="1640257"/>
              </a:moveTo>
              <a:arcTo wR="1136413" hR="1136413" stAng="1579117" swAng="1633837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2B938F-5FD6-44A7-BA41-F76CBD676AEA}">
      <dsp:nvSpPr>
        <dsp:cNvPr id="0" name=""/>
        <dsp:cNvSpPr/>
      </dsp:nvSpPr>
      <dsp:spPr>
        <a:xfrm>
          <a:off x="2214116" y="2273646"/>
          <a:ext cx="1058167" cy="6878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Manejo de Eventos Adversos</a:t>
          </a:r>
        </a:p>
      </dsp:txBody>
      <dsp:txXfrm>
        <a:off x="2247692" y="2307222"/>
        <a:ext cx="991015" cy="620657"/>
      </dsp:txXfrm>
    </dsp:sp>
    <dsp:sp modelId="{8C4E8C02-63D1-45F2-B9D7-D5387B5FCF26}">
      <dsp:nvSpPr>
        <dsp:cNvPr id="0" name=""/>
        <dsp:cNvSpPr/>
      </dsp:nvSpPr>
      <dsp:spPr>
        <a:xfrm>
          <a:off x="1606786" y="344723"/>
          <a:ext cx="2272827" cy="2272827"/>
        </a:xfrm>
        <a:custGeom>
          <a:avLst/>
          <a:gdLst/>
          <a:ahLst/>
          <a:cxnLst/>
          <a:rect l="0" t="0" r="0" b="0"/>
          <a:pathLst>
            <a:path>
              <a:moveTo>
                <a:pt x="461234" y="2050508"/>
              </a:moveTo>
              <a:arcTo wR="1136413" hR="1136413" stAng="7587046" swAng="1633837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DC126-3DED-4707-889E-5BFBE9F8B6F3}">
      <dsp:nvSpPr>
        <dsp:cNvPr id="0" name=""/>
        <dsp:cNvSpPr/>
      </dsp:nvSpPr>
      <dsp:spPr>
        <a:xfrm>
          <a:off x="1077702" y="1137232"/>
          <a:ext cx="1058167" cy="6878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Recuperación</a:t>
          </a:r>
        </a:p>
      </dsp:txBody>
      <dsp:txXfrm>
        <a:off x="1111278" y="1170808"/>
        <a:ext cx="991015" cy="620657"/>
      </dsp:txXfrm>
    </dsp:sp>
    <dsp:sp modelId="{E2A5E37B-1016-4384-8B9B-940E3767BDC9}">
      <dsp:nvSpPr>
        <dsp:cNvPr id="0" name=""/>
        <dsp:cNvSpPr/>
      </dsp:nvSpPr>
      <dsp:spPr>
        <a:xfrm>
          <a:off x="1606786" y="344723"/>
          <a:ext cx="2272827" cy="2272827"/>
        </a:xfrm>
        <a:custGeom>
          <a:avLst/>
          <a:gdLst/>
          <a:ahLst/>
          <a:cxnLst/>
          <a:rect l="0" t="0" r="0" b="0"/>
          <a:pathLst>
            <a:path>
              <a:moveTo>
                <a:pt x="117797" y="632570"/>
              </a:moveTo>
              <a:arcTo wR="1136413" hR="1136413" stAng="12379117" swAng="1633837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874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2021-10-31T20:19:00Z</dcterms:created>
  <dcterms:modified xsi:type="dcterms:W3CDTF">2021-10-31T20:21:00Z</dcterms:modified>
</cp:coreProperties>
</file>