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59" w:rsidRPr="000859D4" w:rsidRDefault="00733D59" w:rsidP="00733D59">
      <w:pPr>
        <w:spacing w:after="0"/>
        <w:jc w:val="center"/>
        <w:rPr>
          <w:rFonts w:ascii="Times New Roman" w:hAnsi="Times New Roman" w:cs="Times New Roman"/>
          <w:b/>
          <w:szCs w:val="24"/>
          <w:lang w:val="es-ES"/>
        </w:rPr>
      </w:pPr>
      <w:r w:rsidRPr="000859D4">
        <w:rPr>
          <w:rFonts w:ascii="Times New Roman" w:hAnsi="Times New Roman" w:cs="Times New Roman"/>
          <w:b/>
          <w:szCs w:val="24"/>
          <w:lang w:val="es-ES"/>
        </w:rPr>
        <w:t xml:space="preserve">Tabla 1. </w:t>
      </w:r>
      <w:r w:rsidRPr="000859D4">
        <w:rPr>
          <w:rFonts w:ascii="Times New Roman" w:hAnsi="Times New Roman" w:cs="Times New Roman"/>
          <w:szCs w:val="24"/>
          <w:lang w:val="es-ES"/>
        </w:rPr>
        <w:t>Análisis bibliométrico de</w:t>
      </w:r>
      <w:r>
        <w:rPr>
          <w:rFonts w:ascii="Times New Roman" w:hAnsi="Times New Roman" w:cs="Times New Roman"/>
          <w:szCs w:val="24"/>
          <w:lang w:val="es-ES"/>
        </w:rPr>
        <w:t xml:space="preserve"> la gestión de la accesibilidad y movilidad al turismo</w:t>
      </w:r>
      <w:r w:rsidRPr="000859D4">
        <w:rPr>
          <w:rFonts w:ascii="Times New Roman" w:hAnsi="Times New Roman" w:cs="Times New Roman"/>
          <w:szCs w:val="24"/>
          <w:lang w:val="es-ES"/>
        </w:rPr>
        <w:t>.</w:t>
      </w:r>
    </w:p>
    <w:tbl>
      <w:tblPr>
        <w:tblStyle w:val="Tablaconcuadrcula1"/>
        <w:tblW w:w="4940" w:type="pct"/>
        <w:tblInd w:w="119" w:type="dxa"/>
        <w:tblLayout w:type="fixed"/>
        <w:tblLook w:val="04A0" w:firstRow="1" w:lastRow="0" w:firstColumn="1" w:lastColumn="0" w:noHBand="0" w:noVBand="1"/>
      </w:tblPr>
      <w:tblGrid>
        <w:gridCol w:w="1506"/>
        <w:gridCol w:w="818"/>
        <w:gridCol w:w="1091"/>
        <w:gridCol w:w="928"/>
        <w:gridCol w:w="712"/>
        <w:gridCol w:w="3817"/>
      </w:tblGrid>
      <w:tr w:rsidR="00733D59" w:rsidRPr="00DC50F4" w:rsidTr="00D51C98">
        <w:trPr>
          <w:trHeight w:val="315"/>
        </w:trPr>
        <w:tc>
          <w:tcPr>
            <w:tcW w:w="8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hideMark/>
          </w:tcPr>
          <w:p w:rsidR="00733D59" w:rsidRPr="00DC50F4" w:rsidRDefault="00733D59" w:rsidP="00D5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es-ES" w:eastAsia="es-ES"/>
              </w:rPr>
            </w:pPr>
            <w:r w:rsidRPr="00DC50F4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es-ES" w:eastAsia="es-ES"/>
              </w:rPr>
              <w:t>Componente</w:t>
            </w:r>
          </w:p>
        </w:tc>
        <w:tc>
          <w:tcPr>
            <w:tcW w:w="4151" w:type="pct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733D59" w:rsidRPr="00DC50F4" w:rsidRDefault="00733D59" w:rsidP="00D5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es-ES" w:eastAsia="es-ES"/>
              </w:rPr>
            </w:pPr>
            <w:r w:rsidRPr="00DC50F4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es-ES" w:eastAsia="es-ES"/>
              </w:rPr>
              <w:t>Métricas</w:t>
            </w:r>
          </w:p>
        </w:tc>
      </w:tr>
      <w:tr w:rsidR="00733D59" w:rsidRPr="00DC50F4" w:rsidTr="00D51C98">
        <w:trPr>
          <w:trHeight w:val="285"/>
        </w:trPr>
        <w:tc>
          <w:tcPr>
            <w:tcW w:w="849" w:type="pct"/>
            <w:vMerge w:val="restart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733D59" w:rsidRPr="00DC50F4" w:rsidRDefault="00733D59" w:rsidP="00D51C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  <w:t>A</w:t>
            </w:r>
            <w:r w:rsidRPr="00DC50F4"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  <w:t>ccesibilidad y movilidad al turismo.</w:t>
            </w:r>
          </w:p>
        </w:tc>
        <w:tc>
          <w:tcPr>
            <w:tcW w:w="461" w:type="pct"/>
            <w:vMerge w:val="restart"/>
            <w:tcBorders>
              <w:top w:val="single" w:sz="18" w:space="0" w:color="auto"/>
            </w:tcBorders>
            <w:noWrap/>
            <w:hideMark/>
          </w:tcPr>
          <w:p w:rsidR="00733D59" w:rsidRPr="00DC50F4" w:rsidRDefault="00733D59" w:rsidP="00D5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lang w:val="es-ES" w:eastAsia="es-ES"/>
              </w:rPr>
            </w:pPr>
            <w:r w:rsidRPr="00DC50F4">
              <w:rPr>
                <w:rFonts w:ascii="Times New Roman" w:hAnsi="Times New Roman" w:cs="Times New Roman"/>
                <w:b/>
                <w:color w:val="000000"/>
                <w:sz w:val="22"/>
                <w:lang w:val="es-ES" w:eastAsia="es-ES"/>
              </w:rPr>
              <w:t>Ítems</w:t>
            </w:r>
          </w:p>
        </w:tc>
        <w:tc>
          <w:tcPr>
            <w:tcW w:w="615" w:type="pct"/>
            <w:vMerge w:val="restart"/>
            <w:tcBorders>
              <w:top w:val="single" w:sz="18" w:space="0" w:color="auto"/>
            </w:tcBorders>
            <w:noWrap/>
            <w:hideMark/>
          </w:tcPr>
          <w:p w:rsidR="00733D59" w:rsidRPr="00DC50F4" w:rsidRDefault="00733D59" w:rsidP="00D5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lang w:val="es-ES" w:eastAsia="es-ES"/>
              </w:rPr>
            </w:pPr>
            <w:r w:rsidRPr="00DC50F4">
              <w:rPr>
                <w:rFonts w:ascii="Times New Roman" w:hAnsi="Times New Roman" w:cs="Times New Roman"/>
                <w:b/>
                <w:color w:val="000000"/>
                <w:sz w:val="22"/>
                <w:lang w:val="es-ES" w:eastAsia="es-ES"/>
              </w:rPr>
              <w:t>Clústeres</w:t>
            </w:r>
          </w:p>
        </w:tc>
        <w:tc>
          <w:tcPr>
            <w:tcW w:w="924" w:type="pct"/>
            <w:gridSpan w:val="2"/>
            <w:tcBorders>
              <w:top w:val="single" w:sz="18" w:space="0" w:color="auto"/>
              <w:right w:val="single" w:sz="18" w:space="0" w:color="auto"/>
            </w:tcBorders>
            <w:hideMark/>
          </w:tcPr>
          <w:p w:rsidR="00733D59" w:rsidRPr="00DC50F4" w:rsidRDefault="00733D59" w:rsidP="00D5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lang w:val="es-ES" w:eastAsia="es-ES"/>
              </w:rPr>
            </w:pPr>
            <w:r w:rsidRPr="00DC50F4">
              <w:rPr>
                <w:rFonts w:ascii="Times New Roman" w:hAnsi="Times New Roman" w:cs="Times New Roman"/>
                <w:b/>
                <w:color w:val="000000"/>
                <w:sz w:val="22"/>
                <w:lang w:val="es-ES" w:eastAsia="es-ES"/>
              </w:rPr>
              <w:t>% de artículos por años</w:t>
            </w:r>
          </w:p>
        </w:tc>
        <w:tc>
          <w:tcPr>
            <w:tcW w:w="2151" w:type="pct"/>
            <w:tcBorders>
              <w:top w:val="single" w:sz="18" w:space="0" w:color="auto"/>
              <w:right w:val="single" w:sz="18" w:space="0" w:color="auto"/>
            </w:tcBorders>
          </w:tcPr>
          <w:p w:rsidR="00733D59" w:rsidRDefault="00733D59" w:rsidP="00D5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lang w:val="es-ES" w:eastAsia="es-ES"/>
              </w:rPr>
            </w:pPr>
            <w:r w:rsidRPr="00DC50F4">
              <w:rPr>
                <w:rFonts w:ascii="Times New Roman" w:hAnsi="Times New Roman" w:cs="Times New Roman"/>
                <w:b/>
                <w:color w:val="000000"/>
                <w:sz w:val="22"/>
                <w:lang w:val="es-ES" w:eastAsia="es-ES"/>
              </w:rPr>
              <w:t>Estrategia de búsqueda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lang w:val="es-ES" w:eastAsia="es-ES"/>
              </w:rPr>
              <w:t>: Sciencedirect</w:t>
            </w:r>
          </w:p>
          <w:p w:rsidR="00733D59" w:rsidRPr="00DC50F4" w:rsidRDefault="00733D59" w:rsidP="00D51C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</w:pPr>
            <w:r w:rsidRPr="00D330D0"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  <w:t>(</w:t>
            </w:r>
            <w:hyperlink r:id="rId4" w:history="1">
              <w:r w:rsidRPr="00070D27">
                <w:rPr>
                  <w:rStyle w:val="Hipervnculo"/>
                  <w:rFonts w:ascii="Times New Roman" w:hAnsi="Times New Roman" w:cs="Times New Roman"/>
                  <w:sz w:val="22"/>
                  <w:lang w:val="es-ES" w:eastAsia="es-ES"/>
                </w:rPr>
                <w:t>https://www.sciencedirect.com/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  <w:t>)</w:t>
            </w:r>
          </w:p>
        </w:tc>
      </w:tr>
      <w:tr w:rsidR="00733D59" w:rsidRPr="00DC50F4" w:rsidTr="00D51C98">
        <w:trPr>
          <w:trHeight w:val="285"/>
        </w:trPr>
        <w:tc>
          <w:tcPr>
            <w:tcW w:w="849" w:type="pct"/>
            <w:vMerge/>
            <w:tcBorders>
              <w:left w:val="single" w:sz="18" w:space="0" w:color="auto"/>
            </w:tcBorders>
            <w:hideMark/>
          </w:tcPr>
          <w:p w:rsidR="00733D59" w:rsidRPr="00DC50F4" w:rsidRDefault="00733D59" w:rsidP="00D51C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</w:pPr>
          </w:p>
        </w:tc>
        <w:tc>
          <w:tcPr>
            <w:tcW w:w="461" w:type="pct"/>
            <w:vMerge/>
            <w:hideMark/>
          </w:tcPr>
          <w:p w:rsidR="00733D59" w:rsidRPr="00DC50F4" w:rsidRDefault="00733D59" w:rsidP="00D51C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</w:pPr>
          </w:p>
        </w:tc>
        <w:tc>
          <w:tcPr>
            <w:tcW w:w="615" w:type="pct"/>
            <w:vMerge/>
            <w:hideMark/>
          </w:tcPr>
          <w:p w:rsidR="00733D59" w:rsidRPr="00DC50F4" w:rsidRDefault="00733D59" w:rsidP="00D51C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</w:pPr>
          </w:p>
        </w:tc>
        <w:tc>
          <w:tcPr>
            <w:tcW w:w="924" w:type="pct"/>
            <w:gridSpan w:val="2"/>
            <w:tcBorders>
              <w:right w:val="single" w:sz="18" w:space="0" w:color="auto"/>
            </w:tcBorders>
            <w:noWrap/>
            <w:hideMark/>
          </w:tcPr>
          <w:p w:rsidR="00733D59" w:rsidRPr="00DC50F4" w:rsidRDefault="00733D59" w:rsidP="00D51C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</w:pPr>
            <w:r w:rsidRPr="00DC50F4"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  <w:t>2021</w:t>
            </w:r>
          </w:p>
        </w:tc>
        <w:tc>
          <w:tcPr>
            <w:tcW w:w="2151" w:type="pct"/>
            <w:vMerge w:val="restart"/>
            <w:tcBorders>
              <w:right w:val="single" w:sz="18" w:space="0" w:color="auto"/>
            </w:tcBorders>
          </w:tcPr>
          <w:p w:rsidR="00733D59" w:rsidRPr="00DC50F4" w:rsidRDefault="00733D59" w:rsidP="00D51C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</w:pPr>
            <w:r w:rsidRPr="00DC50F4"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  <w:t>Accesibilidad y movilidad tur</w:t>
            </w:r>
            <w:r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  <w:t xml:space="preserve">ística </w:t>
            </w:r>
            <w:r w:rsidRPr="00DC50F4"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  <w:t>(N=591) Filtrado por relevancia</w:t>
            </w:r>
            <w:r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  <w:t>.</w:t>
            </w:r>
          </w:p>
        </w:tc>
      </w:tr>
      <w:tr w:rsidR="00733D59" w:rsidRPr="00DC50F4" w:rsidTr="00D51C98">
        <w:trPr>
          <w:trHeight w:val="285"/>
        </w:trPr>
        <w:tc>
          <w:tcPr>
            <w:tcW w:w="849" w:type="pct"/>
            <w:vMerge/>
            <w:tcBorders>
              <w:left w:val="single" w:sz="18" w:space="0" w:color="auto"/>
            </w:tcBorders>
            <w:hideMark/>
          </w:tcPr>
          <w:p w:rsidR="00733D59" w:rsidRPr="00DC50F4" w:rsidRDefault="00733D59" w:rsidP="00D51C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</w:pPr>
          </w:p>
        </w:tc>
        <w:tc>
          <w:tcPr>
            <w:tcW w:w="461" w:type="pct"/>
            <w:hideMark/>
          </w:tcPr>
          <w:p w:rsidR="00733D59" w:rsidRPr="00DC50F4" w:rsidRDefault="00733D59" w:rsidP="00D51C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</w:pPr>
            <w:r w:rsidRPr="00DC50F4"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  <w:t>263</w:t>
            </w:r>
          </w:p>
        </w:tc>
        <w:tc>
          <w:tcPr>
            <w:tcW w:w="615" w:type="pct"/>
            <w:hideMark/>
          </w:tcPr>
          <w:p w:rsidR="00733D59" w:rsidRPr="00DC50F4" w:rsidRDefault="00733D59" w:rsidP="00D51C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</w:pPr>
            <w:r w:rsidRPr="00DC50F4"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  <w:t>9</w:t>
            </w:r>
          </w:p>
        </w:tc>
        <w:tc>
          <w:tcPr>
            <w:tcW w:w="924" w:type="pct"/>
            <w:gridSpan w:val="2"/>
            <w:tcBorders>
              <w:right w:val="single" w:sz="18" w:space="0" w:color="auto"/>
            </w:tcBorders>
            <w:hideMark/>
          </w:tcPr>
          <w:p w:rsidR="00733D59" w:rsidRPr="00DC50F4" w:rsidRDefault="00733D59" w:rsidP="00D51C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</w:pPr>
            <w:r w:rsidRPr="00DC50F4"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  <w:t>100</w:t>
            </w:r>
          </w:p>
        </w:tc>
        <w:tc>
          <w:tcPr>
            <w:tcW w:w="2151" w:type="pct"/>
            <w:vMerge/>
            <w:tcBorders>
              <w:right w:val="single" w:sz="18" w:space="0" w:color="auto"/>
            </w:tcBorders>
          </w:tcPr>
          <w:p w:rsidR="00733D59" w:rsidRPr="00DC50F4" w:rsidRDefault="00733D59" w:rsidP="00D51C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</w:pPr>
          </w:p>
        </w:tc>
      </w:tr>
      <w:tr w:rsidR="00733D59" w:rsidRPr="00DC50F4" w:rsidTr="00D51C98">
        <w:trPr>
          <w:trHeight w:val="300"/>
        </w:trPr>
        <w:tc>
          <w:tcPr>
            <w:tcW w:w="849" w:type="pct"/>
            <w:vMerge/>
            <w:tcBorders>
              <w:left w:val="single" w:sz="18" w:space="0" w:color="auto"/>
            </w:tcBorders>
            <w:hideMark/>
          </w:tcPr>
          <w:p w:rsidR="00733D59" w:rsidRPr="00DC50F4" w:rsidRDefault="00733D59" w:rsidP="00D51C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</w:pPr>
          </w:p>
        </w:tc>
        <w:tc>
          <w:tcPr>
            <w:tcW w:w="4151" w:type="pct"/>
            <w:gridSpan w:val="5"/>
            <w:tcBorders>
              <w:right w:val="single" w:sz="18" w:space="0" w:color="auto"/>
            </w:tcBorders>
            <w:noWrap/>
            <w:hideMark/>
          </w:tcPr>
          <w:p w:rsidR="00733D59" w:rsidRPr="00DC50F4" w:rsidRDefault="00733D59" w:rsidP="00D5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es-ES" w:eastAsia="es-ES"/>
              </w:rPr>
            </w:pPr>
            <w:r w:rsidRPr="00DC50F4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es-ES" w:eastAsia="es-ES"/>
              </w:rPr>
              <w:t>Atributos de mayor peso e índice de similaridad</w:t>
            </w:r>
          </w:p>
        </w:tc>
      </w:tr>
      <w:tr w:rsidR="00733D59" w:rsidRPr="00DC50F4" w:rsidTr="00D51C98">
        <w:trPr>
          <w:trHeight w:val="807"/>
        </w:trPr>
        <w:tc>
          <w:tcPr>
            <w:tcW w:w="849" w:type="pct"/>
            <w:vMerge/>
            <w:tcBorders>
              <w:left w:val="single" w:sz="18" w:space="0" w:color="auto"/>
            </w:tcBorders>
            <w:hideMark/>
          </w:tcPr>
          <w:p w:rsidR="00733D59" w:rsidRPr="00DC50F4" w:rsidRDefault="00733D59" w:rsidP="00D51C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</w:pPr>
          </w:p>
        </w:tc>
        <w:tc>
          <w:tcPr>
            <w:tcW w:w="4151" w:type="pct"/>
            <w:gridSpan w:val="5"/>
            <w:tcBorders>
              <w:right w:val="single" w:sz="18" w:space="0" w:color="auto"/>
            </w:tcBorders>
            <w:hideMark/>
          </w:tcPr>
          <w:p w:rsidR="00733D59" w:rsidRPr="00DC50F4" w:rsidRDefault="00733D59" w:rsidP="00D51C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</w:pPr>
            <w:r w:rsidRPr="00DC50F4"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  <w:t xml:space="preserve">Turismo, clasificación de servicios, viajeros, demanda, autonomía, prevención, planificación, evaluación, salud del viajero, innovación social, innovación económica, establecimientos, distribuidor, agencias, accesible, sostenible, </w:t>
            </w:r>
            <w:r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  <w:t xml:space="preserve">movilidad </w:t>
            </w:r>
            <w:r w:rsidRPr="00DC50F4"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  <w:t>sustentable, accesibilidad y movilidad, turismo inclusivo</w:t>
            </w:r>
            <w:r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  <w:t>, transporte público, turismo sustentable, medios de transporte, covid-19, impacto de la pandemia, motivación</w:t>
            </w:r>
            <w:r w:rsidRPr="00DC50F4"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  <w:t>.</w:t>
            </w:r>
          </w:p>
        </w:tc>
      </w:tr>
      <w:tr w:rsidR="00733D59" w:rsidRPr="00DC50F4" w:rsidTr="00D51C98">
        <w:trPr>
          <w:trHeight w:val="3522"/>
        </w:trPr>
        <w:tc>
          <w:tcPr>
            <w:tcW w:w="2448" w:type="pct"/>
            <w:gridSpan w:val="4"/>
            <w:tcBorders>
              <w:left w:val="single" w:sz="18" w:space="0" w:color="auto"/>
              <w:bottom w:val="single" w:sz="18" w:space="0" w:color="auto"/>
            </w:tcBorders>
            <w:noWrap/>
            <w:hideMark/>
          </w:tcPr>
          <w:p w:rsidR="00733D59" w:rsidRPr="00DC50F4" w:rsidRDefault="00733D59" w:rsidP="00D51C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</w:pPr>
            <w:r w:rsidRPr="00070EBE">
              <w:rPr>
                <w:rFonts w:ascii="Times New Roman" w:hAnsi="Times New Roman" w:cs="Times New Roman"/>
                <w:noProof/>
                <w:color w:val="000000"/>
                <w:sz w:val="22"/>
                <w:lang w:val="es-ES" w:eastAsia="es-ES"/>
              </w:rPr>
              <w:drawing>
                <wp:inline distT="0" distB="0" distL="0" distR="0" wp14:anchorId="5147CF34" wp14:editId="4AE4DC13">
                  <wp:extent cx="2777320" cy="2257425"/>
                  <wp:effectExtent l="0" t="0" r="4445" b="0"/>
                  <wp:docPr id="10" name="Imagen 10" descr="D:\Cuarentena\Artículos en proceso\Revista San Gregorio\Para revisar\ss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Cuarentena\Artículos en proceso\Revista San Gregorio\Para revisar\ssss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12" b="18440"/>
                          <a:stretch/>
                        </pic:blipFill>
                        <pic:spPr bwMode="auto">
                          <a:xfrm>
                            <a:off x="0" y="0"/>
                            <a:ext cx="2778702" cy="2258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pct"/>
            <w:gridSpan w:val="2"/>
            <w:tcBorders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733D59" w:rsidRPr="00DC50F4" w:rsidRDefault="00733D59" w:rsidP="00D51C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lang w:val="es-ES" w:eastAsia="es-ES"/>
              </w:rPr>
            </w:pPr>
            <w:r w:rsidRPr="00B714D5">
              <w:rPr>
                <w:rFonts w:ascii="Times New Roman" w:hAnsi="Times New Roman" w:cs="Times New Roman"/>
                <w:noProof/>
                <w:color w:val="000000"/>
                <w:sz w:val="22"/>
                <w:lang w:val="es-ES" w:eastAsia="es-ES"/>
              </w:rPr>
              <w:drawing>
                <wp:inline distT="0" distB="0" distL="0" distR="0" wp14:anchorId="48DBAB1B" wp14:editId="2E3FFB5C">
                  <wp:extent cx="2943170" cy="2256155"/>
                  <wp:effectExtent l="0" t="0" r="0" b="0"/>
                  <wp:docPr id="7" name="Imagen 7" descr="D:\Cuarentena\Artículos en proceso\Revista San Gregorio\Para revisar\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Cuarentena\Artículos en proceso\Revista San Gregorio\Para revisar\s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931" b="21375"/>
                          <a:stretch/>
                        </pic:blipFill>
                        <pic:spPr bwMode="auto">
                          <a:xfrm>
                            <a:off x="0" y="0"/>
                            <a:ext cx="2956629" cy="2266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733D59" w:rsidRPr="000859D4" w:rsidRDefault="00733D59" w:rsidP="00733D59">
      <w:pPr>
        <w:spacing w:after="0"/>
        <w:jc w:val="center"/>
        <w:rPr>
          <w:rFonts w:ascii="Times New Roman" w:hAnsi="Times New Roman" w:cs="Times New Roman"/>
          <w:szCs w:val="24"/>
          <w:lang w:val="es-ES"/>
        </w:rPr>
      </w:pPr>
      <w:r w:rsidRPr="000859D4">
        <w:rPr>
          <w:rFonts w:ascii="Times New Roman" w:hAnsi="Times New Roman" w:cs="Times New Roman"/>
          <w:b/>
          <w:szCs w:val="24"/>
          <w:lang w:val="es-ES"/>
        </w:rPr>
        <w:t xml:space="preserve">Fuente: </w:t>
      </w:r>
      <w:r w:rsidRPr="000859D4">
        <w:rPr>
          <w:rFonts w:ascii="Times New Roman" w:hAnsi="Times New Roman" w:cs="Times New Roman"/>
          <w:szCs w:val="24"/>
          <w:lang w:val="es-ES"/>
        </w:rPr>
        <w:t>elaboración propia.</w:t>
      </w:r>
    </w:p>
    <w:p w:rsidR="00A00AB1" w:rsidRDefault="00A00AB1"/>
    <w:sectPr w:rsidR="00A00AB1" w:rsidSect="00475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13"/>
    <w:rsid w:val="000F3397"/>
    <w:rsid w:val="00132434"/>
    <w:rsid w:val="00192A13"/>
    <w:rsid w:val="00475F57"/>
    <w:rsid w:val="004812B5"/>
    <w:rsid w:val="00733D59"/>
    <w:rsid w:val="00A00AB1"/>
    <w:rsid w:val="00A212A7"/>
    <w:rsid w:val="00AE5DC1"/>
    <w:rsid w:val="00E1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A1F45E-FBD1-4FBB-9547-FC64A1FF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D59"/>
    <w:pPr>
      <w:spacing w:after="200" w:line="360" w:lineRule="auto"/>
      <w:jc w:val="both"/>
    </w:pPr>
    <w:rPr>
      <w:rFonts w:ascii="Arial" w:eastAsiaTheme="minorEastAsia" w:hAnsi="Arial"/>
      <w:sz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AE5DC1"/>
    <w:pPr>
      <w:keepNext/>
      <w:keepLines/>
      <w:spacing w:after="120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4616"/>
    <w:pPr>
      <w:keepNext/>
      <w:keepLines/>
      <w:spacing w:before="120" w:after="120" w:line="276" w:lineRule="auto"/>
      <w:ind w:left="567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5DC1"/>
    <w:pPr>
      <w:keepNext/>
      <w:keepLines/>
      <w:spacing w:before="120" w:after="120"/>
      <w:ind w:left="851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E5DC1"/>
    <w:pPr>
      <w:keepNext/>
      <w:keepLines/>
      <w:spacing w:before="120" w:after="120"/>
      <w:ind w:left="851"/>
      <w:outlineLvl w:val="3"/>
    </w:pPr>
    <w:rPr>
      <w:rFonts w:eastAsiaTheme="majorEastAsia" w:cstheme="majorBidi"/>
      <w:b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5DC1"/>
    <w:rPr>
      <w:rFonts w:ascii="Arial" w:eastAsiaTheme="majorEastAsia" w:hAnsi="Arial" w:cstheme="majorBidi"/>
      <w:b/>
      <w:sz w:val="28"/>
      <w:szCs w:val="32"/>
    </w:rPr>
  </w:style>
  <w:style w:type="paragraph" w:customStyle="1" w:styleId="Nmero">
    <w:name w:val="Número"/>
    <w:basedOn w:val="Normal"/>
    <w:link w:val="NmeroCar"/>
    <w:qFormat/>
    <w:rsid w:val="00AE5DC1"/>
    <w:pPr>
      <w:keepNext/>
      <w:keepLines/>
      <w:ind w:left="340"/>
      <w:outlineLvl w:val="3"/>
    </w:pPr>
    <w:rPr>
      <w:rFonts w:eastAsiaTheme="majorEastAsia" w:cstheme="majorBidi"/>
      <w:iCs/>
    </w:rPr>
  </w:style>
  <w:style w:type="character" w:customStyle="1" w:styleId="NmeroCar">
    <w:name w:val="Número Car"/>
    <w:basedOn w:val="Fuentedeprrafopredeter"/>
    <w:link w:val="Nmero"/>
    <w:rsid w:val="00AE5DC1"/>
    <w:rPr>
      <w:rFonts w:ascii="Arial" w:eastAsiaTheme="majorEastAsia" w:hAnsi="Arial" w:cstheme="majorBidi"/>
      <w:iCs/>
      <w:sz w:val="24"/>
    </w:rPr>
  </w:style>
  <w:style w:type="paragraph" w:customStyle="1" w:styleId="PiedePgina">
    <w:name w:val="Pie de Página"/>
    <w:basedOn w:val="Ttulo4"/>
    <w:link w:val="PiedePginaCar"/>
    <w:qFormat/>
    <w:rsid w:val="00AE5DC1"/>
    <w:pPr>
      <w:spacing w:before="0" w:line="240" w:lineRule="auto"/>
    </w:pPr>
    <w:rPr>
      <w:i w:val="0"/>
      <w:sz w:val="16"/>
    </w:rPr>
  </w:style>
  <w:style w:type="character" w:customStyle="1" w:styleId="PiedePginaCar">
    <w:name w:val="Pie de Página Car"/>
    <w:basedOn w:val="Ttulo4Car"/>
    <w:link w:val="PiedePgina"/>
    <w:rsid w:val="00AE5DC1"/>
    <w:rPr>
      <w:rFonts w:ascii="Arial" w:eastAsiaTheme="majorEastAsia" w:hAnsi="Arial" w:cstheme="majorBidi"/>
      <w:b/>
      <w:i w:val="0"/>
      <w:iCs/>
      <w:sz w:val="16"/>
    </w:rPr>
  </w:style>
  <w:style w:type="character" w:customStyle="1" w:styleId="Ttulo4Car">
    <w:name w:val="Título 4 Car"/>
    <w:basedOn w:val="Fuentedeprrafopredeter"/>
    <w:link w:val="Ttulo4"/>
    <w:uiPriority w:val="9"/>
    <w:rsid w:val="00AE5DC1"/>
    <w:rPr>
      <w:rFonts w:ascii="Arial" w:eastAsiaTheme="majorEastAsia" w:hAnsi="Arial" w:cstheme="majorBidi"/>
      <w:b/>
      <w:i/>
      <w:iCs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E14616"/>
    <w:rPr>
      <w:rFonts w:ascii="Arial" w:eastAsiaTheme="majorEastAsia" w:hAnsi="Arial" w:cstheme="majorBidi"/>
      <w:b/>
      <w:sz w:val="24"/>
      <w:szCs w:val="26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AE5DC1"/>
    <w:rPr>
      <w:rFonts w:ascii="Arial" w:eastAsiaTheme="majorEastAsia" w:hAnsi="Arial" w:cstheme="majorBidi"/>
      <w:b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92A1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192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75F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hyperlink" Target="https://www.sciencedirect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2021-09-27T18:55:00Z</dcterms:created>
  <dcterms:modified xsi:type="dcterms:W3CDTF">2021-09-28T18:53:00Z</dcterms:modified>
</cp:coreProperties>
</file>