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AF73" w14:textId="2D8E436D" w:rsidR="006B6C4C" w:rsidRPr="00F73878" w:rsidRDefault="00F73878" w:rsidP="00F738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878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14:paraId="45BD8503" w14:textId="20DB2E14" w:rsidR="00F73878" w:rsidRPr="00F73878" w:rsidRDefault="00F73878" w:rsidP="00F738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878">
        <w:rPr>
          <w:rFonts w:ascii="Times New Roman" w:hAnsi="Times New Roman" w:cs="Times New Roman"/>
          <w:b/>
          <w:bCs/>
          <w:sz w:val="24"/>
          <w:szCs w:val="24"/>
        </w:rPr>
        <w:t>TABLAS</w:t>
      </w:r>
    </w:p>
    <w:p w14:paraId="34FE7AB6" w14:textId="77777777" w:rsidR="00CF708B" w:rsidRDefault="00CF7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B5C2C7" w14:textId="595659FB" w:rsidR="00F73878" w:rsidRPr="0049491C" w:rsidRDefault="00CF70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Tabla </w:t>
      </w:r>
      <w:r w:rsidR="00B775AA" w:rsidRPr="0049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49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9491C">
        <w:rPr>
          <w:rFonts w:ascii="Times New Roman" w:hAnsi="Times New Roman" w:cs="Times New Roman"/>
          <w:i/>
          <w:iCs/>
          <w:sz w:val="24"/>
          <w:szCs w:val="24"/>
        </w:rPr>
        <w:t xml:space="preserve"> Características de los estudios incluidos.</w:t>
      </w:r>
    </w:p>
    <w:p w14:paraId="67F310DA" w14:textId="77777777" w:rsidR="00CF708B" w:rsidRDefault="00CF70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5245"/>
        <w:gridCol w:w="1418"/>
      </w:tblGrid>
      <w:tr w:rsidR="00CF708B" w:rsidRPr="0049491C" w14:paraId="1DBC30F7" w14:textId="77777777" w:rsidTr="00E55F05">
        <w:trPr>
          <w:trHeight w:val="81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6BF2D" w14:textId="77777777" w:rsidR="00CF708B" w:rsidRPr="0049491C" w:rsidRDefault="00CF708B" w:rsidP="00CF70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C"/>
              </w:rPr>
              <w:t>Características (n = 60)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0D6C6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C"/>
              </w:rPr>
              <w:t>Porcentaje (%)</w:t>
            </w:r>
          </w:p>
        </w:tc>
      </w:tr>
      <w:tr w:rsidR="00CF708B" w:rsidRPr="0049491C" w14:paraId="79B8BBFC" w14:textId="77777777" w:rsidTr="00E55F05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AF2EB3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</w:p>
          <w:p w14:paraId="769F60FD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>Año de publicación: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58D38D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CF708B" w:rsidRPr="0049491C" w14:paraId="3DB94C12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3F10A4BD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2016 (n = 11)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C8CB99A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18,3</w:t>
            </w:r>
          </w:p>
        </w:tc>
      </w:tr>
      <w:tr w:rsidR="00CF708B" w:rsidRPr="0049491C" w14:paraId="3B706508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08A82396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2017 (n = 11)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569EB30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18,3</w:t>
            </w:r>
          </w:p>
        </w:tc>
      </w:tr>
      <w:tr w:rsidR="00CF708B" w:rsidRPr="0049491C" w14:paraId="580DD8CB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61E0C084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2018 (n = 14)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6467547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23,3</w:t>
            </w:r>
          </w:p>
        </w:tc>
      </w:tr>
      <w:tr w:rsidR="00CF708B" w:rsidRPr="0049491C" w14:paraId="735D8E5D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2642BFD6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2019 (n = 10)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9C63148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16,7</w:t>
            </w:r>
          </w:p>
        </w:tc>
      </w:tr>
      <w:tr w:rsidR="00CF708B" w:rsidRPr="0049491C" w14:paraId="3A5537CF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672B859C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2020 (n = 14)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BB1AD62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23,3</w:t>
            </w:r>
          </w:p>
        </w:tc>
      </w:tr>
      <w:tr w:rsidR="00CF708B" w:rsidRPr="0049491C" w14:paraId="49452C6F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724AC44E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>Idioma: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959E8CF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CF708B" w:rsidRPr="0049491C" w14:paraId="5DBB5D78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7DC672FD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Inglés (n = 59)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1365DDA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98,3</w:t>
            </w:r>
          </w:p>
        </w:tc>
      </w:tr>
      <w:tr w:rsidR="00CF708B" w:rsidRPr="0049491C" w14:paraId="64A0539E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77FDA64C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Español (n = 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8E1AC6A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1,7</w:t>
            </w:r>
          </w:p>
        </w:tc>
      </w:tr>
      <w:tr w:rsidR="00CF708B" w:rsidRPr="0049491C" w14:paraId="4730E738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75B4D0ED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>Continente: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4C00FF5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CF708B" w:rsidRPr="0049491C" w14:paraId="644B615C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3A23388B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América del Norte (n = 5)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43D073B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8,3</w:t>
            </w:r>
          </w:p>
        </w:tc>
      </w:tr>
      <w:tr w:rsidR="00CF708B" w:rsidRPr="0049491C" w14:paraId="458A011E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3AE2FB3C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Centro América y América del Sur (n = 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0CD0D75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</w:tr>
      <w:tr w:rsidR="00CF708B" w:rsidRPr="0049491C" w14:paraId="3E6EDD5A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5A59BDE7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Europa (n = 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FD7373C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13,3</w:t>
            </w:r>
          </w:p>
        </w:tc>
      </w:tr>
      <w:tr w:rsidR="00CF708B" w:rsidRPr="0049491C" w14:paraId="3AE07DC8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3E2E9665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Oceanía: Australia (n = 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C4C6C39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3,3</w:t>
            </w:r>
          </w:p>
        </w:tc>
      </w:tr>
      <w:tr w:rsidR="00CF708B" w:rsidRPr="0049491C" w14:paraId="63106040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5146288A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Asia (n = 31)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B8E0988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51,7</w:t>
            </w:r>
          </w:p>
        </w:tc>
      </w:tr>
      <w:tr w:rsidR="00CF708B" w:rsidRPr="0049491C" w14:paraId="51542E40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064959C9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África (n = 11)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7062207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18,3</w:t>
            </w:r>
          </w:p>
        </w:tc>
      </w:tr>
      <w:tr w:rsidR="00CF708B" w:rsidRPr="0049491C" w14:paraId="49C13C72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257F2092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>Tipos de estudios: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9115A48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CF708B" w:rsidRPr="0049491C" w14:paraId="42A94C70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1538B569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Revisiones sistemáticas (n = 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B944860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3,3</w:t>
            </w:r>
          </w:p>
        </w:tc>
      </w:tr>
      <w:tr w:rsidR="00CF708B" w:rsidRPr="0049491C" w14:paraId="646AA98D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73E63C0D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Revisiones sistemáticas y meta – análisis (n = 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29AB6FB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3,3</w:t>
            </w:r>
          </w:p>
        </w:tc>
      </w:tr>
      <w:tr w:rsidR="00CF708B" w:rsidRPr="0049491C" w14:paraId="344EAC5A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6AF7756A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Estudios cuasi – experimentales (n = 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26052A1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1,7</w:t>
            </w:r>
          </w:p>
        </w:tc>
      </w:tr>
      <w:tr w:rsidR="00CF708B" w:rsidRPr="0049491C" w14:paraId="06F0705C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4936C592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Estudios observacionales (n = 41)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54659D0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68,3</w:t>
            </w:r>
          </w:p>
        </w:tc>
      </w:tr>
      <w:tr w:rsidR="00CF708B" w:rsidRPr="0049491C" w14:paraId="5CBC4305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51132D32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Reportes de casos (n = 11)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7B9C4B5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18,3</w:t>
            </w:r>
          </w:p>
        </w:tc>
      </w:tr>
      <w:tr w:rsidR="00CF708B" w:rsidRPr="0049491C" w14:paraId="0D027990" w14:textId="77777777" w:rsidTr="00E55F05">
        <w:trPr>
          <w:jc w:val="center"/>
        </w:trPr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640CE7" w14:textId="77777777" w:rsidR="00CF708B" w:rsidRPr="0049491C" w:rsidRDefault="00CF708B" w:rsidP="00CF70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bCs/>
                <w:sz w:val="20"/>
                <w:szCs w:val="20"/>
                <w:lang w:eastAsia="es-EC"/>
              </w:rPr>
              <w:t xml:space="preserve">     Artículos de revisión (n = 3)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4FDDF3" w14:textId="77777777" w:rsidR="00CF708B" w:rsidRPr="0049491C" w:rsidRDefault="00CF708B" w:rsidP="00CF7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</w:tr>
    </w:tbl>
    <w:p w14:paraId="693EAD4F" w14:textId="72DA7CD2" w:rsidR="00CF708B" w:rsidRDefault="00CF708B">
      <w:pPr>
        <w:rPr>
          <w:rFonts w:ascii="Times New Roman" w:hAnsi="Times New Roman" w:cs="Times New Roman"/>
          <w:sz w:val="24"/>
          <w:szCs w:val="24"/>
        </w:rPr>
      </w:pPr>
    </w:p>
    <w:p w14:paraId="7415873B" w14:textId="77777777" w:rsidR="00CF708B" w:rsidRDefault="00CF7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55BEE" w14:textId="77777777" w:rsidR="00CF708B" w:rsidRDefault="00CF7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D4141" w14:textId="77777777" w:rsidR="0049491C" w:rsidRDefault="00494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F36745" w14:textId="6F027988" w:rsidR="00CF708B" w:rsidRPr="0049491C" w:rsidRDefault="00CF70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Tabla </w:t>
      </w:r>
      <w:r w:rsidR="00736323" w:rsidRPr="0049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49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9491C">
        <w:rPr>
          <w:rFonts w:ascii="Times New Roman" w:hAnsi="Times New Roman" w:cs="Times New Roman"/>
          <w:i/>
          <w:iCs/>
          <w:sz w:val="24"/>
          <w:szCs w:val="24"/>
        </w:rPr>
        <w:t xml:space="preserve"> Estudios incluidos según resultados primarios y secundarios de interés.</w:t>
      </w:r>
    </w:p>
    <w:p w14:paraId="5EA1D9AB" w14:textId="77777777" w:rsidR="00B70AA8" w:rsidRDefault="00B70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799"/>
      </w:tblGrid>
      <w:tr w:rsidR="00CF708B" w:rsidRPr="0049491C" w14:paraId="7737DB51" w14:textId="77777777" w:rsidTr="00DE770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8D4E4" w14:textId="76168B91" w:rsidR="003C1E43" w:rsidRPr="0049491C" w:rsidRDefault="00CF708B" w:rsidP="003C1E4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Resultado de interés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C0260" w14:textId="734D478A" w:rsidR="00CF708B" w:rsidRPr="0049491C" w:rsidRDefault="00CF708B" w:rsidP="003C1E4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Estudios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E4A8" w14:textId="0378730C" w:rsidR="00CF708B" w:rsidRPr="0049491C" w:rsidRDefault="00CF708B" w:rsidP="003C1E4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N.º</w:t>
            </w:r>
          </w:p>
        </w:tc>
      </w:tr>
      <w:tr w:rsidR="00CF708B" w:rsidRPr="0049491C" w14:paraId="4922C3F8" w14:textId="77777777" w:rsidTr="00DE770A">
        <w:tc>
          <w:tcPr>
            <w:tcW w:w="2263" w:type="dxa"/>
            <w:tcBorders>
              <w:top w:val="single" w:sz="4" w:space="0" w:color="auto"/>
            </w:tcBorders>
          </w:tcPr>
          <w:p w14:paraId="34E5ADE9" w14:textId="527A0845" w:rsidR="00CF708B" w:rsidRPr="0049491C" w:rsidRDefault="00CF708B" w:rsidP="00DE770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Fuentes laborales de contaminación</w:t>
            </w:r>
            <w:r w:rsidR="00DE770A" w:rsidRPr="004949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4D844E" w14:textId="6B948408" w:rsidR="00B70AA8" w:rsidRPr="0049491C" w:rsidRDefault="006342ED" w:rsidP="00DE770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708B" w:rsidRPr="0049491C">
              <w:rPr>
                <w:rFonts w:ascii="Times New Roman" w:hAnsi="Times New Roman" w:cs="Times New Roman"/>
                <w:sz w:val="20"/>
                <w:szCs w:val="20"/>
              </w:rPr>
              <w:t>Elmaaboud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708B" w:rsidRPr="0049491C">
              <w:rPr>
                <w:rFonts w:ascii="Times New Roman" w:hAnsi="Times New Roman" w:cs="Times New Roman"/>
                <w:sz w:val="20"/>
                <w:szCs w:val="20"/>
              </w:rPr>
              <w:t>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r w:rsidR="00CF708B" w:rsidRPr="0049491C">
              <w:rPr>
                <w:rFonts w:ascii="Times New Roman" w:hAnsi="Times New Roman" w:cs="Times New Roman"/>
                <w:sz w:val="20"/>
                <w:szCs w:val="20"/>
              </w:rPr>
              <w:t>Laidlaw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708B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r w:rsidR="00CF708B" w:rsidRPr="0049491C">
              <w:rPr>
                <w:rFonts w:ascii="Times New Roman" w:hAnsi="Times New Roman" w:cs="Times New Roman"/>
                <w:sz w:val="20"/>
                <w:szCs w:val="20"/>
              </w:rPr>
              <w:t>Azami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708B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708B" w:rsidRPr="0049491C">
              <w:rPr>
                <w:rFonts w:ascii="Times New Roman" w:hAnsi="Times New Roman" w:cs="Times New Roman"/>
                <w:sz w:val="20"/>
                <w:szCs w:val="20"/>
              </w:rPr>
              <w:t>Adejumo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708B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(Mathee et al, 2017);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Chaouali et al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O'Connor et al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Noushabadi et al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2019)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Nakhaee et al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2019)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Ferron et al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Gautam et al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y (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Ceballos et al</w:t>
            </w:r>
            <w:r w:rsidR="005330E7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3AD99B2C" w14:textId="0968B444" w:rsidR="00CF708B" w:rsidRPr="0049491C" w:rsidRDefault="006342ED" w:rsidP="00DE770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F708B" w:rsidRPr="0049491C" w14:paraId="338BF59C" w14:textId="77777777" w:rsidTr="00DE770A">
        <w:tc>
          <w:tcPr>
            <w:tcW w:w="2263" w:type="dxa"/>
          </w:tcPr>
          <w:p w14:paraId="55C4EAE4" w14:textId="2E9C1ED3" w:rsidR="00CF708B" w:rsidRPr="0049491C" w:rsidRDefault="006342ED" w:rsidP="00DE770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Manifestaciones clínicas y/o enfermedades por exposición a plomo</w:t>
            </w:r>
            <w:r w:rsidR="00DE770A" w:rsidRPr="004949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7E7418F2" w14:textId="02359131" w:rsidR="00CF708B" w:rsidRPr="0049491C" w:rsidRDefault="005330E7" w:rsidP="00DE770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Becerra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Zhang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Fenga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Baki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Dadpour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Aguilar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Ibeh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Ghiasvand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Sadeghniiat-Haghighi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Kang &amp; Park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Poole &amp; Basu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Mathee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Zimet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Lghabi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Mesri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Shraideh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Tutkun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Han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Obeng-Gyasi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Fathabadi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Wang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Igharo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Reilly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Oginawati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Kościuk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2019)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Yu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2019)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Qu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2019)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Ravibabu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2019)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Obi-Ezeani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2019)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Huat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2019)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Gunnarsson &amp; Bodin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2019)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Kaneko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Štěpánek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Yang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Ansari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Owsianowska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Balasubramanian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Batra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Kim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1545AA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Fahim et al</w:t>
            </w:r>
            <w:r w:rsidR="003B287A"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</w:p>
        </w:tc>
        <w:tc>
          <w:tcPr>
            <w:tcW w:w="799" w:type="dxa"/>
            <w:vAlign w:val="center"/>
          </w:tcPr>
          <w:p w14:paraId="46EE003D" w14:textId="7C089603" w:rsidR="00CF708B" w:rsidRPr="0049491C" w:rsidRDefault="006342ED" w:rsidP="00DE770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F708B" w:rsidRPr="0049491C" w14:paraId="6272735E" w14:textId="77777777" w:rsidTr="00DE770A">
        <w:tc>
          <w:tcPr>
            <w:tcW w:w="2263" w:type="dxa"/>
          </w:tcPr>
          <w:p w14:paraId="1B5A2629" w14:textId="365763BD" w:rsidR="00CF708B" w:rsidRPr="0049491C" w:rsidRDefault="006342ED" w:rsidP="00DE770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Niveles de corte</w:t>
            </w:r>
            <w:r w:rsidR="00DE770A" w:rsidRPr="004949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6C76A71E" w14:textId="31EC8FC8" w:rsidR="00CF708B" w:rsidRPr="0049491C" w:rsidRDefault="00B70AA8" w:rsidP="00DE770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Wu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2016)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Hsieh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y 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Wang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</w:p>
        </w:tc>
        <w:tc>
          <w:tcPr>
            <w:tcW w:w="799" w:type="dxa"/>
            <w:vAlign w:val="center"/>
          </w:tcPr>
          <w:p w14:paraId="1EF61AE5" w14:textId="231EA7EE" w:rsidR="00CF708B" w:rsidRPr="0049491C" w:rsidRDefault="006342ED" w:rsidP="00DE770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708B" w:rsidRPr="0049491C" w14:paraId="1CC0F912" w14:textId="77777777" w:rsidTr="00DE770A">
        <w:tc>
          <w:tcPr>
            <w:tcW w:w="2263" w:type="dxa"/>
            <w:tcBorders>
              <w:bottom w:val="nil"/>
            </w:tcBorders>
          </w:tcPr>
          <w:p w14:paraId="5BC0D57B" w14:textId="786692CA" w:rsidR="00CF708B" w:rsidRPr="0049491C" w:rsidRDefault="006342ED" w:rsidP="00DE770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Mortalidad</w:t>
            </w:r>
            <w:r w:rsidR="003C1E43" w:rsidRPr="004949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bottom w:val="nil"/>
            </w:tcBorders>
          </w:tcPr>
          <w:p w14:paraId="0FCAC4F3" w14:textId="4BA5DB0A" w:rsidR="00CF708B" w:rsidRPr="0049491C" w:rsidRDefault="00B70AA8" w:rsidP="00DE770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Steenland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Li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y 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Lanphear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70F25C04" w14:textId="53B0078E" w:rsidR="00CF708B" w:rsidRPr="0049491C" w:rsidRDefault="006342ED" w:rsidP="00DE770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42ED" w:rsidRPr="0049491C" w14:paraId="1ADE19B3" w14:textId="77777777" w:rsidTr="00DE770A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65D88EE9" w14:textId="121A482C" w:rsidR="006342ED" w:rsidRPr="0049491C" w:rsidRDefault="006342ED" w:rsidP="00DE770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Medidas preventivas</w:t>
            </w:r>
            <w:r w:rsidR="003C1E43" w:rsidRPr="004949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14:paraId="3FEF6E0A" w14:textId="38CD37BC" w:rsidR="006342ED" w:rsidRPr="0049491C" w:rsidRDefault="00B70AA8" w:rsidP="00DE770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Rasheed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2019)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y (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>Allaouat et al</w:t>
            </w: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2ED" w:rsidRPr="0049491C">
              <w:rPr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  <w:vAlign w:val="center"/>
          </w:tcPr>
          <w:p w14:paraId="5F5D56F7" w14:textId="507FD8E1" w:rsidR="006342ED" w:rsidRPr="0049491C" w:rsidRDefault="006342ED" w:rsidP="00DE770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1C7D943" w14:textId="77777777" w:rsidR="00CF708B" w:rsidRDefault="00CF708B">
      <w:pPr>
        <w:rPr>
          <w:rFonts w:ascii="Times New Roman" w:hAnsi="Times New Roman" w:cs="Times New Roman"/>
          <w:sz w:val="24"/>
          <w:szCs w:val="24"/>
        </w:rPr>
      </w:pPr>
    </w:p>
    <w:p w14:paraId="00B261F2" w14:textId="56644134" w:rsidR="000A6C13" w:rsidRDefault="000A6C13">
      <w:pPr>
        <w:rPr>
          <w:rFonts w:ascii="Times New Roman" w:hAnsi="Times New Roman" w:cs="Times New Roman"/>
          <w:sz w:val="24"/>
          <w:szCs w:val="24"/>
        </w:rPr>
      </w:pPr>
    </w:p>
    <w:p w14:paraId="11616200" w14:textId="77777777" w:rsidR="0049491C" w:rsidRDefault="00494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EF6705" w14:textId="77777777" w:rsidR="0049491C" w:rsidRDefault="00494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7B93FF" w14:textId="77777777" w:rsidR="0049491C" w:rsidRDefault="00494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18D09" w14:textId="77777777" w:rsidR="0049491C" w:rsidRDefault="00494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C18F83" w14:textId="77777777" w:rsidR="0049491C" w:rsidRDefault="00494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E43B3E" w14:textId="77777777" w:rsidR="0049491C" w:rsidRDefault="00494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9EC3CB" w14:textId="77777777" w:rsidR="0049491C" w:rsidRDefault="00494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263BE3" w14:textId="0725223A" w:rsidR="000A6C13" w:rsidRPr="0049491C" w:rsidRDefault="000A6C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Tabla </w:t>
      </w:r>
      <w:r w:rsidR="0049491C" w:rsidRPr="0049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49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9491C">
        <w:rPr>
          <w:rFonts w:ascii="Times New Roman" w:hAnsi="Times New Roman" w:cs="Times New Roman"/>
          <w:i/>
          <w:iCs/>
          <w:sz w:val="24"/>
          <w:szCs w:val="24"/>
        </w:rPr>
        <w:t xml:space="preserve"> Porcentaje de alteraciones por exposición al plomo, reportadas</w:t>
      </w:r>
      <w:r w:rsidR="00C06DF1" w:rsidRPr="004949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C1F8A70" w14:textId="310E9672" w:rsidR="00C06DF1" w:rsidRDefault="00C06D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701"/>
      </w:tblGrid>
      <w:tr w:rsidR="00C06DF1" w:rsidRPr="00C06DF1" w14:paraId="0D724E87" w14:textId="77777777" w:rsidTr="00E55F05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5231D" w14:textId="77777777" w:rsidR="00C06DF1" w:rsidRPr="00C06DF1" w:rsidRDefault="00C06DF1" w:rsidP="00C06DF1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b/>
                <w:sz w:val="20"/>
                <w:szCs w:val="20"/>
                <w:lang w:eastAsia="es-EC"/>
              </w:rPr>
              <w:t xml:space="preserve">Manifestaciones clínicas y/o </w:t>
            </w:r>
          </w:p>
          <w:p w14:paraId="37F0DD89" w14:textId="77777777" w:rsidR="00C06DF1" w:rsidRPr="00C06DF1" w:rsidRDefault="00C06DF1" w:rsidP="00C06DF1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b/>
                <w:sz w:val="20"/>
                <w:szCs w:val="20"/>
                <w:lang w:eastAsia="es-EC"/>
              </w:rPr>
              <w:t>enfermedades (n = 40)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ADFB" w14:textId="77777777" w:rsidR="00C06DF1" w:rsidRPr="00C06DF1" w:rsidRDefault="00C06DF1" w:rsidP="00C06DF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b/>
                <w:sz w:val="20"/>
                <w:szCs w:val="20"/>
                <w:lang w:eastAsia="es-EC"/>
              </w:rPr>
              <w:t>Porcentaje (%)</w:t>
            </w:r>
          </w:p>
        </w:tc>
      </w:tr>
      <w:tr w:rsidR="00C06DF1" w:rsidRPr="00C06DF1" w14:paraId="73548230" w14:textId="77777777" w:rsidTr="00E55F05">
        <w:trPr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753B4A6F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</w:p>
          <w:p w14:paraId="7EA389C5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Neurológicas (n = 11)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937BC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</w:p>
          <w:p w14:paraId="280C1A2A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27,5</w:t>
            </w:r>
          </w:p>
        </w:tc>
      </w:tr>
      <w:tr w:rsidR="00C06DF1" w:rsidRPr="00C06DF1" w14:paraId="4A522E63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0C136FD7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Hematológicas (n = 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63D15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20</w:t>
            </w:r>
          </w:p>
        </w:tc>
      </w:tr>
      <w:tr w:rsidR="00C06DF1" w:rsidRPr="00C06DF1" w14:paraId="78DA85F6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4DCA6B0C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Abdómino/digestivas (n = 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99874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17,5</w:t>
            </w:r>
          </w:p>
        </w:tc>
      </w:tr>
      <w:tr w:rsidR="00C06DF1" w:rsidRPr="00C06DF1" w14:paraId="507F87FB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725216D1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Psiquiátricas (n = 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231DB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17,5</w:t>
            </w:r>
          </w:p>
        </w:tc>
      </w:tr>
      <w:tr w:rsidR="00C06DF1" w:rsidRPr="00C06DF1" w14:paraId="30CD6FC5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479097D4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Cardiovasculares (n = 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D6C39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15</w:t>
            </w:r>
          </w:p>
        </w:tc>
      </w:tr>
      <w:tr w:rsidR="00C06DF1" w:rsidRPr="00C06DF1" w14:paraId="6FF2CA55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5445A0B9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Inmunológicas (n = 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3AFFA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15</w:t>
            </w:r>
          </w:p>
        </w:tc>
      </w:tr>
      <w:tr w:rsidR="00C06DF1" w:rsidRPr="00C06DF1" w14:paraId="7D50D15D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504907C7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Renales (n = 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C4286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12,5</w:t>
            </w:r>
          </w:p>
        </w:tc>
      </w:tr>
      <w:tr w:rsidR="00C06DF1" w:rsidRPr="00C06DF1" w14:paraId="64EEBF69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207CCFF4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Metabólicas (n = 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27E28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10</w:t>
            </w:r>
          </w:p>
        </w:tc>
      </w:tr>
      <w:tr w:rsidR="00C06DF1" w:rsidRPr="00C06DF1" w14:paraId="6553B4E0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36321B27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Sensoriales (n = 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8723F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7,5</w:t>
            </w:r>
          </w:p>
        </w:tc>
      </w:tr>
      <w:tr w:rsidR="00C06DF1" w:rsidRPr="00C06DF1" w14:paraId="69E7B3A3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574ED4FB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Endocrinológicas (n =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D98B3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</w:tr>
      <w:tr w:rsidR="00C06DF1" w:rsidRPr="00C06DF1" w14:paraId="26A24EB8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78E35F49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Músculo/esqueléticas (n =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B6303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</w:tr>
      <w:tr w:rsidR="00C06DF1" w:rsidRPr="00C06DF1" w14:paraId="5C819C72" w14:textId="77777777" w:rsidTr="00E55F05">
        <w:trPr>
          <w:jc w:val="center"/>
        </w:trPr>
        <w:tc>
          <w:tcPr>
            <w:tcW w:w="3227" w:type="dxa"/>
            <w:shd w:val="clear" w:color="auto" w:fill="auto"/>
          </w:tcPr>
          <w:p w14:paraId="3BB2C083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Dérmicas (n =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028FF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</w:tr>
      <w:tr w:rsidR="00C06DF1" w:rsidRPr="00C06DF1" w14:paraId="772F20E0" w14:textId="77777777" w:rsidTr="00E55F05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35BAB23" w14:textId="77777777" w:rsidR="00C06DF1" w:rsidRPr="00C06DF1" w:rsidRDefault="00C06DF1" w:rsidP="00C06D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Genotóxicas (n =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142DF" w14:textId="77777777" w:rsidR="00C06DF1" w:rsidRPr="00C06DF1" w:rsidRDefault="00C06DF1" w:rsidP="00C06D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C"/>
              </w:rPr>
            </w:pPr>
            <w:r w:rsidRPr="00C06DF1">
              <w:rPr>
                <w:rFonts w:ascii="Times New Roman" w:hAnsi="Times New Roman" w:cs="Times New Roman"/>
                <w:sz w:val="20"/>
                <w:szCs w:val="20"/>
                <w:lang w:eastAsia="es-EC"/>
              </w:rPr>
              <w:t>2,5</w:t>
            </w:r>
          </w:p>
        </w:tc>
      </w:tr>
    </w:tbl>
    <w:p w14:paraId="17AE7041" w14:textId="4F59560C" w:rsidR="00C06DF1" w:rsidRDefault="00C06DF1">
      <w:pPr>
        <w:rPr>
          <w:rFonts w:ascii="Times New Roman" w:hAnsi="Times New Roman" w:cs="Times New Roman"/>
          <w:sz w:val="24"/>
          <w:szCs w:val="24"/>
        </w:rPr>
      </w:pPr>
    </w:p>
    <w:p w14:paraId="3146F582" w14:textId="0A454C54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1F8DECAA" w14:textId="22BCE770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44077793" w14:textId="6D830B9B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576124E8" w14:textId="44D1ABD4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3AB9ABCC" w14:textId="00008B67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2FF09D2D" w14:textId="3CCA8803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40D0B95A" w14:textId="22637881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5D12B94A" w14:textId="325B3037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6F5569C5" w14:textId="3AC7A8D2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18A45CAE" w14:textId="74843143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0E62BE12" w14:textId="7D226D36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2CC4A50F" w14:textId="0EFCEE6B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18533AAB" w14:textId="4BFE63A6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7941B39D" w14:textId="689485D8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24DF9A65" w14:textId="108E24EC" w:rsidR="007621B5" w:rsidRPr="007621B5" w:rsidRDefault="007621B5" w:rsidP="00762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5">
        <w:rPr>
          <w:rFonts w:ascii="Times New Roman" w:hAnsi="Times New Roman" w:cs="Times New Roman"/>
          <w:b/>
          <w:bCs/>
          <w:sz w:val="24"/>
          <w:szCs w:val="24"/>
        </w:rPr>
        <w:lastRenderedPageBreak/>
        <w:t>GRÁFICOS</w:t>
      </w:r>
    </w:p>
    <w:p w14:paraId="382B1CAB" w14:textId="68F7A908" w:rsidR="007621B5" w:rsidRDefault="007621B5" w:rsidP="007621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01C7ABE" wp14:editId="3F5A10D0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3345180" cy="4351655"/>
            <wp:effectExtent l="0" t="0" r="7620" b="0"/>
            <wp:wrapThrough wrapText="bothSides">
              <wp:wrapPolygon edited="0">
                <wp:start x="0" y="0"/>
                <wp:lineTo x="0" y="21464"/>
                <wp:lineTo x="21526" y="21464"/>
                <wp:lineTo x="2152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6" t="20425" r="34296" b="1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43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E2500" w14:textId="6D4E2140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695E938D" w14:textId="7D43DE17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2FAC1317" w14:textId="77652135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7DB7F5DF" w14:textId="15606386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2DD6DABB" w14:textId="2692039D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4AA1630B" w14:textId="2C618200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33C50E25" w14:textId="29BC7A9C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3EB86BFE" w14:textId="4413C764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45D5122E" w14:textId="1A275A29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72BA9C80" w14:textId="7C12D0E2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78E46E00" w14:textId="6E5CF899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7FB9F67F" w14:textId="1C325C27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5305FAF1" w14:textId="2778C0ED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5E8E019D" w14:textId="08E0C2C0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319BE3A4" w14:textId="4478E4A4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6CE84E27" w14:textId="270B218F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5352838B" w14:textId="77777777" w:rsidR="00C80968" w:rsidRDefault="007621B5" w:rsidP="00C8096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Gráfico 1.</w:t>
      </w:r>
      <w:r w:rsidRPr="00EA2547">
        <w:rPr>
          <w:rFonts w:ascii="Times New Roman" w:hAnsi="Times New Roman" w:cs="Times New Roman"/>
          <w:i/>
          <w:iCs/>
          <w:sz w:val="24"/>
          <w:szCs w:val="24"/>
        </w:rPr>
        <w:t xml:space="preserve"> Diagrama de flujo de la búsqueda y selección de estudios.</w:t>
      </w:r>
    </w:p>
    <w:p w14:paraId="25DE5BD3" w14:textId="76130923" w:rsidR="00C80968" w:rsidRPr="00EA2547" w:rsidRDefault="00C80968" w:rsidP="00C8096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80968">
        <w:rPr>
          <w:rFonts w:ascii="Times New Roman" w:hAnsi="Times New Roman" w:cs="Times New Roman"/>
          <w:i/>
          <w:iCs/>
          <w:sz w:val="24"/>
          <w:szCs w:val="24"/>
        </w:rPr>
        <w:t>daptado del diagrama de flujo PRISMA, desarrollado por Moher, Liberati, Tetzlaff y Altman, 2009.</w:t>
      </w:r>
    </w:p>
    <w:p w14:paraId="6B3527E6" w14:textId="10F98043" w:rsidR="007621B5" w:rsidRDefault="0076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noProof/>
          <w:sz w:val="18"/>
          <w:szCs w:val="18"/>
          <w:lang w:val="es-MX"/>
        </w:rPr>
        <w:lastRenderedPageBreak/>
        <w:drawing>
          <wp:anchor distT="0" distB="0" distL="114300" distR="114300" simplePos="0" relativeHeight="251661312" behindDoc="1" locked="0" layoutInCell="1" allowOverlap="1" wp14:anchorId="7042E95F" wp14:editId="4EBA386C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4994910" cy="2781935"/>
            <wp:effectExtent l="19050" t="19050" r="15240" b="18415"/>
            <wp:wrapThrough wrapText="bothSides">
              <wp:wrapPolygon edited="0">
                <wp:start x="-82" y="-148"/>
                <wp:lineTo x="-82" y="21595"/>
                <wp:lineTo x="21584" y="21595"/>
                <wp:lineTo x="21584" y="-148"/>
                <wp:lineTo x="-82" y="-148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t="33818" r="24554" b="4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2781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E5323" w14:textId="6AEC9413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086B1751" w14:textId="7BD05784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02BA6F73" w14:textId="572D1B5E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787FD17E" w14:textId="5A94C1A3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17D57597" w14:textId="730CE07E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500D3C48" w14:textId="26CE6F66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58945C58" w14:textId="4EA76FF6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087F21F6" w14:textId="10469BEF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7FD8D0D3" w14:textId="3BD026EA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623FE013" w14:textId="77777777" w:rsidR="009C508B" w:rsidRDefault="009C5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077247" w14:textId="3DC5A461" w:rsidR="007621B5" w:rsidRDefault="007621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2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Gráfico 2.</w:t>
      </w:r>
      <w:r w:rsidRPr="00EA2547">
        <w:rPr>
          <w:rFonts w:ascii="Times New Roman" w:hAnsi="Times New Roman" w:cs="Times New Roman"/>
          <w:i/>
          <w:iCs/>
          <w:sz w:val="24"/>
          <w:szCs w:val="24"/>
        </w:rPr>
        <w:t xml:space="preserve"> Porcentaje de distribución de las fuentes laborales de contaminación por plomo.</w:t>
      </w:r>
    </w:p>
    <w:p w14:paraId="08FD4DAD" w14:textId="77777777" w:rsidR="00C80968" w:rsidRPr="00EA2547" w:rsidRDefault="00C8096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C244D79" w14:textId="38C73F59" w:rsidR="007621B5" w:rsidRDefault="0076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DAB7FD4" wp14:editId="10B8EF8F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4264660" cy="3292475"/>
            <wp:effectExtent l="19050" t="19050" r="21590" b="22225"/>
            <wp:wrapThrough wrapText="bothSides">
              <wp:wrapPolygon edited="0">
                <wp:start x="-96" y="-125"/>
                <wp:lineTo x="-96" y="21621"/>
                <wp:lineTo x="21613" y="21621"/>
                <wp:lineTo x="21613" y="-125"/>
                <wp:lineTo x="-96" y="-125"/>
              </wp:wrapPolygon>
            </wp:wrapThrough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8" t="28148" r="36082"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9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03DA" w14:textId="32D52FB5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24F99FF1" w14:textId="4212A07A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39FBD689" w14:textId="05B5D025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2AFEBDFC" w14:textId="407DA829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2FA907B5" w14:textId="02998A4B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575B0310" w14:textId="59914FE9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36B378FC" w14:textId="1E351F22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76F82F0B" w14:textId="2A31B514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4FFC9250" w14:textId="2785DCEF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55797671" w14:textId="2FC1C10B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37177D5E" w14:textId="1B3145BC" w:rsidR="007621B5" w:rsidRDefault="007621B5">
      <w:pPr>
        <w:rPr>
          <w:rFonts w:ascii="Times New Roman" w:hAnsi="Times New Roman" w:cs="Times New Roman"/>
          <w:sz w:val="24"/>
          <w:szCs w:val="24"/>
        </w:rPr>
      </w:pPr>
    </w:p>
    <w:p w14:paraId="4C4CF4D1" w14:textId="3F58E69E" w:rsidR="007621B5" w:rsidRPr="00C80968" w:rsidRDefault="007621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941C6E" w14:textId="7835F3EB" w:rsidR="007621B5" w:rsidRPr="00C80968" w:rsidRDefault="007621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0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Gráfico 3.</w:t>
      </w:r>
      <w:r w:rsidRPr="00C80968">
        <w:rPr>
          <w:rFonts w:ascii="Times New Roman" w:hAnsi="Times New Roman" w:cs="Times New Roman"/>
          <w:i/>
          <w:iCs/>
          <w:sz w:val="24"/>
          <w:szCs w:val="24"/>
        </w:rPr>
        <w:t xml:space="preserve"> Gráfico de dispersión de plumbemias, de las manifestaciones clínicas reportadas.</w:t>
      </w:r>
    </w:p>
    <w:sectPr w:rsidR="007621B5" w:rsidRPr="00C80968" w:rsidSect="00CF7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E8B"/>
    <w:multiLevelType w:val="hybridMultilevel"/>
    <w:tmpl w:val="186AE612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78"/>
    <w:rsid w:val="000A6C13"/>
    <w:rsid w:val="001545AA"/>
    <w:rsid w:val="003B287A"/>
    <w:rsid w:val="003C1E43"/>
    <w:rsid w:val="0049491C"/>
    <w:rsid w:val="005330E7"/>
    <w:rsid w:val="006342ED"/>
    <w:rsid w:val="006B6C4C"/>
    <w:rsid w:val="00736323"/>
    <w:rsid w:val="007621B5"/>
    <w:rsid w:val="009C508B"/>
    <w:rsid w:val="00B70AA8"/>
    <w:rsid w:val="00B775AA"/>
    <w:rsid w:val="00C06DF1"/>
    <w:rsid w:val="00C80968"/>
    <w:rsid w:val="00CF708B"/>
    <w:rsid w:val="00DE770A"/>
    <w:rsid w:val="00EA2547"/>
    <w:rsid w:val="00F7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553D"/>
  <w15:chartTrackingRefBased/>
  <w15:docId w15:val="{B1072F5A-CBAD-4300-963B-50650273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2021-05-10T15:40:00Z</dcterms:created>
  <dcterms:modified xsi:type="dcterms:W3CDTF">2021-05-12T15:46:00Z</dcterms:modified>
</cp:coreProperties>
</file>