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38" w:rsidRPr="009A2D67" w:rsidRDefault="00416D38" w:rsidP="00416D38">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Anexo 1: </w:t>
      </w:r>
      <w:r w:rsidRPr="009A2D67">
        <w:rPr>
          <w:rFonts w:ascii="Times New Roman" w:eastAsia="Calibri" w:hAnsi="Times New Roman" w:cs="Times New Roman"/>
          <w:bCs/>
          <w:sz w:val="24"/>
          <w:szCs w:val="24"/>
        </w:rPr>
        <w:t xml:space="preserve"> Comparación entre la propuesta de mapa del 2019 con propuestas precedentes</w:t>
      </w:r>
    </w:p>
    <w:tbl>
      <w:tblPr>
        <w:tblStyle w:val="Tablaconcuadrcula"/>
        <w:tblW w:w="0" w:type="auto"/>
        <w:tblLook w:val="04A0" w:firstRow="1" w:lastRow="0" w:firstColumn="1" w:lastColumn="0" w:noHBand="0" w:noVBand="1"/>
      </w:tblPr>
      <w:tblGrid>
        <w:gridCol w:w="3256"/>
        <w:gridCol w:w="2977"/>
        <w:gridCol w:w="3117"/>
      </w:tblGrid>
      <w:tr w:rsidR="00416D38" w:rsidRPr="009A2D67" w:rsidTr="00A475A7">
        <w:tc>
          <w:tcPr>
            <w:tcW w:w="3256"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r w:rsidRPr="009A2D67">
              <w:rPr>
                <w:rFonts w:ascii="Times New Roman" w:eastAsia="Calibri" w:hAnsi="Times New Roman" w:cs="Times New Roman"/>
                <w:bCs/>
                <w:sz w:val="24"/>
                <w:szCs w:val="24"/>
              </w:rPr>
              <w:t>Criterios de evaluación</w:t>
            </w:r>
          </w:p>
        </w:tc>
        <w:tc>
          <w:tcPr>
            <w:tcW w:w="2977"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r w:rsidRPr="009A2D67">
              <w:rPr>
                <w:rFonts w:ascii="Times New Roman" w:eastAsia="Calibri" w:hAnsi="Times New Roman" w:cs="Times New Roman"/>
                <w:bCs/>
                <w:sz w:val="24"/>
                <w:szCs w:val="24"/>
              </w:rPr>
              <w:t>Mapa aprobado 2019</w:t>
            </w:r>
          </w:p>
        </w:tc>
        <w:tc>
          <w:tcPr>
            <w:tcW w:w="3117"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r w:rsidRPr="009A2D67">
              <w:rPr>
                <w:rFonts w:ascii="Times New Roman" w:eastAsia="Calibri" w:hAnsi="Times New Roman" w:cs="Times New Roman"/>
                <w:bCs/>
                <w:sz w:val="24"/>
                <w:szCs w:val="24"/>
              </w:rPr>
              <w:t>Propuestas precedentes</w:t>
            </w:r>
          </w:p>
        </w:tc>
      </w:tr>
      <w:tr w:rsidR="00416D38" w:rsidRPr="009A2D67" w:rsidTr="00A475A7">
        <w:tc>
          <w:tcPr>
            <w:tcW w:w="3256"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sz w:val="24"/>
                <w:szCs w:val="24"/>
              </w:rPr>
            </w:pPr>
            <w:r w:rsidRPr="009A2D67">
              <w:rPr>
                <w:rFonts w:ascii="Times New Roman" w:eastAsia="Calibri" w:hAnsi="Times New Roman" w:cs="Times New Roman"/>
                <w:sz w:val="24"/>
                <w:szCs w:val="24"/>
              </w:rPr>
              <w:t>Alineación con la estructura de la organización, áreas de resultados clave</w:t>
            </w:r>
          </w:p>
          <w:p w:rsidR="00416D38" w:rsidRPr="009A2D67" w:rsidRDefault="00416D38" w:rsidP="00A475A7">
            <w:pPr>
              <w:autoSpaceDE w:val="0"/>
              <w:autoSpaceDN w:val="0"/>
              <w:adjustRightInd w:val="0"/>
              <w:spacing w:line="360" w:lineRule="auto"/>
              <w:contextualSpacing/>
              <w:jc w:val="both"/>
              <w:rPr>
                <w:rFonts w:ascii="Times New Roman" w:eastAsia="Calibri" w:hAnsi="Times New Roman" w:cs="Times New Roman"/>
                <w:bCs/>
                <w:sz w:val="24"/>
                <w:szCs w:val="24"/>
              </w:rPr>
            </w:pPr>
          </w:p>
        </w:tc>
        <w:tc>
          <w:tcPr>
            <w:tcW w:w="2977"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r w:rsidRPr="009A2D67">
              <w:rPr>
                <w:rFonts w:ascii="Times New Roman" w:eastAsia="Calibri" w:hAnsi="Times New Roman" w:cs="Times New Roman"/>
                <w:bCs/>
                <w:sz w:val="24"/>
                <w:szCs w:val="24"/>
              </w:rPr>
              <w:t xml:space="preserve">Su confección estuvo condicionada por la revisión de la estructura organizativa aprobada por el MINSAP para las universidades médicas; y en correspondencia con la Dirección Estratégica definida y reflejada en la variable 1 </w:t>
            </w:r>
          </w:p>
        </w:tc>
        <w:tc>
          <w:tcPr>
            <w:tcW w:w="3117"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r w:rsidRPr="009A2D67">
              <w:rPr>
                <w:rFonts w:ascii="Times New Roman" w:eastAsia="Calibri" w:hAnsi="Times New Roman" w:cs="Times New Roman"/>
                <w:bCs/>
                <w:sz w:val="24"/>
                <w:szCs w:val="24"/>
              </w:rPr>
              <w:t>Se asoció áreas de resultados clave a procesos. Primera propuesta de mapa reflejaba puntos de contacto con la estructura organizativa</w:t>
            </w:r>
          </w:p>
        </w:tc>
      </w:tr>
      <w:tr w:rsidR="00416D38" w:rsidRPr="009A2D67" w:rsidTr="00A475A7">
        <w:tc>
          <w:tcPr>
            <w:tcW w:w="3256"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sz w:val="24"/>
                <w:szCs w:val="24"/>
              </w:rPr>
            </w:pPr>
            <w:r w:rsidRPr="009A2D67">
              <w:rPr>
                <w:rFonts w:ascii="Times New Roman" w:eastAsia="Calibri" w:hAnsi="Times New Roman" w:cs="Times New Roman"/>
                <w:sz w:val="24"/>
                <w:szCs w:val="24"/>
              </w:rPr>
              <w:t>Representación de todas las actividades que desarrolla la universidad</w:t>
            </w:r>
          </w:p>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p>
        </w:tc>
        <w:tc>
          <w:tcPr>
            <w:tcW w:w="2977"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r w:rsidRPr="009A2D67">
              <w:rPr>
                <w:rFonts w:ascii="Times New Roman" w:eastAsia="Calibri" w:hAnsi="Times New Roman" w:cs="Times New Roman"/>
                <w:bCs/>
                <w:sz w:val="24"/>
                <w:szCs w:val="24"/>
              </w:rPr>
              <w:t>Se listaron todas las actividades desarrolladas en cada departamento y se agruparon según los objetivos a alcanzar en la satisfacción de las partes interesadas. La identificación de relaciones comunes entre los departamentos por medio de actividades permitió ser exhaustivos y minimizar el riesgo de olvidar alguna actividad</w:t>
            </w:r>
          </w:p>
        </w:tc>
        <w:tc>
          <w:tcPr>
            <w:tcW w:w="3117"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r w:rsidRPr="009A2D67">
              <w:rPr>
                <w:rFonts w:ascii="Times New Roman" w:eastAsia="Calibri" w:hAnsi="Times New Roman" w:cs="Times New Roman"/>
                <w:bCs/>
                <w:sz w:val="24"/>
                <w:szCs w:val="24"/>
              </w:rPr>
              <w:t>Se verificó de manera global que todas las áreas de la universidad estuvieran representadas</w:t>
            </w:r>
          </w:p>
        </w:tc>
      </w:tr>
      <w:tr w:rsidR="00416D38" w:rsidRPr="009A2D67" w:rsidTr="00A475A7">
        <w:tc>
          <w:tcPr>
            <w:tcW w:w="3256"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sz w:val="24"/>
                <w:szCs w:val="24"/>
              </w:rPr>
            </w:pPr>
            <w:r w:rsidRPr="009A2D67">
              <w:rPr>
                <w:rFonts w:ascii="Times New Roman" w:eastAsia="Calibri" w:hAnsi="Times New Roman" w:cs="Times New Roman"/>
                <w:sz w:val="24"/>
                <w:szCs w:val="24"/>
              </w:rPr>
              <w:t>Grado de consenso y reconocimiento de los miembros y representantes de todas las áreas de la universidad con la propuesta</w:t>
            </w:r>
          </w:p>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p>
        </w:tc>
        <w:tc>
          <w:tcPr>
            <w:tcW w:w="2977"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r w:rsidRPr="009A2D67">
              <w:rPr>
                <w:rFonts w:ascii="Times New Roman" w:eastAsia="Calibri" w:hAnsi="Times New Roman" w:cs="Times New Roman"/>
                <w:bCs/>
                <w:sz w:val="24"/>
                <w:szCs w:val="24"/>
              </w:rPr>
              <w:lastRenderedPageBreak/>
              <w:t xml:space="preserve">Todos los miembros del grupo recibieron previamente una explicación de los principales principios de la gestión por procesos y </w:t>
            </w:r>
            <w:r w:rsidRPr="009A2D67">
              <w:rPr>
                <w:rFonts w:ascii="Times New Roman" w:eastAsia="Calibri" w:hAnsi="Times New Roman" w:cs="Times New Roman"/>
                <w:bCs/>
                <w:sz w:val="24"/>
                <w:szCs w:val="24"/>
              </w:rPr>
              <w:lastRenderedPageBreak/>
              <w:t>de la representación general de procesos. Se registraron todas las dudas sobre la descripción de procesos, los departamentos que intervienen. El mapa fue aprobado por todos los miembros del grupo para la acreditación luego de conciliadas las dudas y realizados los ajustes sugeridos; así mismo sometido a aprobación por el consejo de dirección de la universidad</w:t>
            </w:r>
          </w:p>
        </w:tc>
        <w:tc>
          <w:tcPr>
            <w:tcW w:w="3117" w:type="dxa"/>
          </w:tcPr>
          <w:p w:rsidR="00416D38" w:rsidRPr="009A2D67" w:rsidRDefault="00416D38" w:rsidP="00A475A7">
            <w:pPr>
              <w:autoSpaceDE w:val="0"/>
              <w:autoSpaceDN w:val="0"/>
              <w:adjustRightInd w:val="0"/>
              <w:spacing w:line="360" w:lineRule="auto"/>
              <w:jc w:val="both"/>
              <w:rPr>
                <w:rFonts w:ascii="Times New Roman" w:eastAsia="Calibri" w:hAnsi="Times New Roman" w:cs="Times New Roman"/>
                <w:bCs/>
                <w:sz w:val="24"/>
                <w:szCs w:val="24"/>
              </w:rPr>
            </w:pPr>
            <w:r w:rsidRPr="009A2D67">
              <w:rPr>
                <w:rFonts w:ascii="Times New Roman" w:eastAsia="Calibri" w:hAnsi="Times New Roman" w:cs="Times New Roman"/>
                <w:bCs/>
                <w:sz w:val="24"/>
                <w:szCs w:val="24"/>
              </w:rPr>
              <w:lastRenderedPageBreak/>
              <w:t xml:space="preserve">Los miembros mostraron interés por la formulación de un </w:t>
            </w:r>
            <w:proofErr w:type="gramStart"/>
            <w:r w:rsidRPr="009A2D67">
              <w:rPr>
                <w:rFonts w:ascii="Times New Roman" w:eastAsia="Calibri" w:hAnsi="Times New Roman" w:cs="Times New Roman"/>
                <w:bCs/>
                <w:sz w:val="24"/>
                <w:szCs w:val="24"/>
              </w:rPr>
              <w:t>mapa</w:t>
            </w:r>
            <w:proofErr w:type="gramEnd"/>
            <w:r w:rsidRPr="009A2D67">
              <w:rPr>
                <w:rFonts w:ascii="Times New Roman" w:eastAsia="Calibri" w:hAnsi="Times New Roman" w:cs="Times New Roman"/>
                <w:bCs/>
                <w:sz w:val="24"/>
                <w:szCs w:val="24"/>
              </w:rPr>
              <w:t xml:space="preserve"> aunque no existía un conocimiento homogéneo sobre los supuestos de la </w:t>
            </w:r>
            <w:r w:rsidRPr="009A2D67">
              <w:rPr>
                <w:rFonts w:ascii="Times New Roman" w:eastAsia="Calibri" w:hAnsi="Times New Roman" w:cs="Times New Roman"/>
                <w:bCs/>
                <w:sz w:val="24"/>
                <w:szCs w:val="24"/>
              </w:rPr>
              <w:lastRenderedPageBreak/>
              <w:t xml:space="preserve">gestión por procesos. Fue difícil alcanzar consenso </w:t>
            </w:r>
          </w:p>
        </w:tc>
      </w:tr>
    </w:tbl>
    <w:p w:rsidR="00416D38" w:rsidRDefault="00416D38" w:rsidP="00416D38">
      <w:pPr>
        <w:autoSpaceDE w:val="0"/>
        <w:autoSpaceDN w:val="0"/>
        <w:adjustRightInd w:val="0"/>
        <w:spacing w:after="0" w:line="360" w:lineRule="auto"/>
        <w:jc w:val="both"/>
        <w:rPr>
          <w:rFonts w:ascii="Times New Roman" w:eastAsia="Calibri" w:hAnsi="Times New Roman" w:cs="Times New Roman"/>
          <w:sz w:val="24"/>
          <w:szCs w:val="24"/>
        </w:rPr>
      </w:pPr>
      <w:r w:rsidRPr="009A2D67">
        <w:rPr>
          <w:rFonts w:ascii="Times New Roman" w:eastAsia="Calibri" w:hAnsi="Times New Roman" w:cs="Times New Roman"/>
          <w:sz w:val="24"/>
          <w:szCs w:val="24"/>
        </w:rPr>
        <w:lastRenderedPageBreak/>
        <w:t>Fuente: Elaboración propia</w:t>
      </w:r>
    </w:p>
    <w:p w:rsidR="00AE7F41" w:rsidRDefault="00416D38"/>
    <w:p w:rsidR="00416D38" w:rsidRDefault="00416D38"/>
    <w:p w:rsidR="00416D38" w:rsidRDefault="00416D38"/>
    <w:p w:rsidR="00416D38" w:rsidRDefault="00416D38"/>
    <w:p w:rsidR="00416D38" w:rsidRDefault="00416D38"/>
    <w:p w:rsidR="00416D38" w:rsidRDefault="00416D38"/>
    <w:p w:rsidR="00416D38" w:rsidRDefault="00416D38"/>
    <w:p w:rsidR="00416D38" w:rsidRDefault="00416D38"/>
    <w:p w:rsidR="00416D38" w:rsidRDefault="00416D38"/>
    <w:p w:rsidR="00416D38" w:rsidRDefault="00416D38"/>
    <w:p w:rsidR="00416D38" w:rsidRDefault="00416D38"/>
    <w:p w:rsidR="00416D38" w:rsidRDefault="00416D38"/>
    <w:p w:rsidR="00416D38" w:rsidRDefault="00416D38"/>
    <w:p w:rsidR="00416D38" w:rsidRDefault="00416D38"/>
    <w:p w:rsidR="00416D38" w:rsidRDefault="00416D38">
      <w:pPr>
        <w:sectPr w:rsidR="00416D38">
          <w:pgSz w:w="12240" w:h="15840"/>
          <w:pgMar w:top="1440" w:right="1440" w:bottom="1440" w:left="1440" w:header="720" w:footer="720" w:gutter="0"/>
          <w:cols w:space="720"/>
          <w:docGrid w:linePitch="360"/>
        </w:sectPr>
      </w:pPr>
    </w:p>
    <w:p w:rsidR="00416D38" w:rsidRDefault="00416D38">
      <w:pPr>
        <w:rPr>
          <w:rFonts w:ascii="Times New Roman" w:hAnsi="Times New Roman" w:cs="Times New Roman"/>
          <w:sz w:val="24"/>
          <w:szCs w:val="24"/>
        </w:rPr>
      </w:pPr>
      <w:r w:rsidRPr="00416D38">
        <w:rPr>
          <w:rFonts w:ascii="Times New Roman" w:hAnsi="Times New Roman" w:cs="Times New Roman"/>
          <w:sz w:val="24"/>
          <w:szCs w:val="24"/>
        </w:rPr>
        <w:lastRenderedPageBreak/>
        <w:t>Anexo 2: Mapa de proceso de la Universidad de Ciencias Médicas de Matanzas</w:t>
      </w:r>
      <w:r>
        <w:rPr>
          <w:rFonts w:ascii="Times New Roman" w:hAnsi="Times New Roman" w:cs="Times New Roman"/>
          <w:sz w:val="24"/>
          <w:szCs w:val="24"/>
        </w:rPr>
        <w:t>.</w:t>
      </w:r>
    </w:p>
    <w:p w:rsidR="00416D38" w:rsidRDefault="00416D38">
      <w:pP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8C8803F">
            <wp:extent cx="4885038" cy="3214246"/>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95067" cy="3220845"/>
                    </a:xfrm>
                    <a:prstGeom prst="rect">
                      <a:avLst/>
                    </a:prstGeom>
                    <a:noFill/>
                  </pic:spPr>
                </pic:pic>
              </a:graphicData>
            </a:graphic>
          </wp:inline>
        </w:drawing>
      </w:r>
    </w:p>
    <w:p w:rsidR="00416D38" w:rsidRPr="00416D38" w:rsidRDefault="00416D38" w:rsidP="00416D38">
      <w:pPr>
        <w:tabs>
          <w:tab w:val="left" w:pos="1388"/>
        </w:tabs>
        <w:rPr>
          <w:rFonts w:ascii="Times New Roman" w:hAnsi="Times New Roman" w:cs="Times New Roman"/>
          <w:sz w:val="24"/>
          <w:szCs w:val="24"/>
        </w:rPr>
      </w:pPr>
      <w:r>
        <w:rPr>
          <w:rFonts w:ascii="Times New Roman" w:hAnsi="Times New Roman" w:cs="Times New Roman"/>
          <w:sz w:val="24"/>
          <w:szCs w:val="24"/>
        </w:rPr>
        <w:t>Fuente: Elaboración propia.</w:t>
      </w:r>
      <w:r>
        <w:rPr>
          <w:rFonts w:ascii="Times New Roman" w:hAnsi="Times New Roman" w:cs="Times New Roman"/>
          <w:sz w:val="24"/>
          <w:szCs w:val="24"/>
        </w:rPr>
        <w:tab/>
      </w:r>
      <w:bookmarkStart w:id="0" w:name="_GoBack"/>
      <w:bookmarkEnd w:id="0"/>
    </w:p>
    <w:sectPr w:rsidR="00416D38" w:rsidRPr="00416D38" w:rsidSect="0041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38"/>
    <w:rsid w:val="00196600"/>
    <w:rsid w:val="00416D38"/>
    <w:rsid w:val="0055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05CC"/>
  <w15:chartTrackingRefBased/>
  <w15:docId w15:val="{E40BB168-7E1D-465D-9ED0-383E53F5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D38"/>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16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2020-10-06T14:14:00Z</dcterms:created>
  <dcterms:modified xsi:type="dcterms:W3CDTF">2020-10-06T14:20:00Z</dcterms:modified>
</cp:coreProperties>
</file>