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81AF0" w14:textId="77777777" w:rsidR="00FB1E0B" w:rsidRPr="00BA6C96" w:rsidRDefault="00FB1E0B" w:rsidP="00FB1E0B">
      <w:pPr>
        <w:jc w:val="center"/>
        <w:rPr>
          <w:b/>
          <w:bCs/>
        </w:rPr>
      </w:pPr>
      <w:r w:rsidRPr="00BA6C96">
        <w:rPr>
          <w:b/>
          <w:bCs/>
        </w:rPr>
        <w:t>Valoración económica del impacto de la inundación en la Unión, Santa Ana, Manabí, Ecuador.</w:t>
      </w:r>
    </w:p>
    <w:p w14:paraId="44EB250D" w14:textId="7A8E3383" w:rsidR="00161779" w:rsidRDefault="00161779" w:rsidP="00161779">
      <w:pPr>
        <w:spacing w:line="360" w:lineRule="auto"/>
        <w:rPr>
          <w:rFonts w:eastAsia="Arial"/>
        </w:rPr>
      </w:pPr>
    </w:p>
    <w:p w14:paraId="3C5B2FFC" w14:textId="078445CF" w:rsidR="00FB1E0B" w:rsidRPr="00FB1E0B" w:rsidRDefault="00FB1E0B" w:rsidP="00161779">
      <w:pPr>
        <w:spacing w:line="360" w:lineRule="auto"/>
        <w:rPr>
          <w:rFonts w:eastAsia="Arial"/>
          <w:b/>
          <w:bCs/>
        </w:rPr>
      </w:pPr>
      <w:r w:rsidRPr="00FB1E0B">
        <w:rPr>
          <w:rFonts w:eastAsia="Arial"/>
          <w:b/>
          <w:bCs/>
        </w:rPr>
        <w:t>ANEXOS</w:t>
      </w:r>
    </w:p>
    <w:p w14:paraId="0BF93B78" w14:textId="77777777" w:rsidR="00161779" w:rsidRPr="00754FDD" w:rsidRDefault="00161779" w:rsidP="00161779">
      <w:pPr>
        <w:spacing w:before="120" w:after="120" w:line="360" w:lineRule="auto"/>
        <w:rPr>
          <w:rFonts w:eastAsia="Arial"/>
          <w:lang w:val="es-ES"/>
        </w:rPr>
      </w:pPr>
      <w:r w:rsidRPr="00754FDD">
        <w:rPr>
          <w:rFonts w:eastAsia="Arial"/>
          <w:b/>
          <w:lang w:val="es-ES"/>
        </w:rPr>
        <w:t>Tabla 1.</w:t>
      </w:r>
      <w:r w:rsidRPr="00754FDD">
        <w:rPr>
          <w:rFonts w:eastAsia="Arial"/>
          <w:b/>
          <w:i/>
          <w:lang w:val="es-ES"/>
        </w:rPr>
        <w:t xml:space="preserve"> </w:t>
      </w:r>
      <w:r w:rsidRPr="00754FDD">
        <w:rPr>
          <w:rFonts w:eastAsia="Arial"/>
          <w:lang w:val="es-ES"/>
        </w:rPr>
        <w:t xml:space="preserve">Variables utilizadas en el modelo </w:t>
      </w:r>
    </w:p>
    <w:tbl>
      <w:tblPr>
        <w:tblStyle w:val="Tabladelista1clara-nfasis31"/>
        <w:tblW w:w="5000" w:type="pct"/>
        <w:tblLook w:val="04A0" w:firstRow="1" w:lastRow="0" w:firstColumn="1" w:lastColumn="0" w:noHBand="0" w:noVBand="1"/>
      </w:tblPr>
      <w:tblGrid>
        <w:gridCol w:w="1336"/>
        <w:gridCol w:w="1136"/>
        <w:gridCol w:w="3318"/>
        <w:gridCol w:w="1510"/>
        <w:gridCol w:w="977"/>
        <w:gridCol w:w="1083"/>
      </w:tblGrid>
      <w:tr w:rsidR="00161779" w:rsidRPr="00754FDD" w14:paraId="59E131B4" w14:textId="77777777" w:rsidTr="001A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736B129A" w14:textId="77777777" w:rsidR="00161779" w:rsidRPr="00754FDD" w:rsidRDefault="00161779" w:rsidP="001A51F2">
            <w:pPr>
              <w:jc w:val="center"/>
            </w:pPr>
            <w:r w:rsidRPr="00754FDD">
              <w:t>Variables</w:t>
            </w:r>
          </w:p>
        </w:tc>
        <w:tc>
          <w:tcPr>
            <w:tcW w:w="525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6DB59DFF" w14:textId="77777777" w:rsidR="00161779" w:rsidRPr="00754FDD" w:rsidRDefault="00161779" w:rsidP="001A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>Notación</w:t>
            </w:r>
          </w:p>
        </w:tc>
        <w:tc>
          <w:tcPr>
            <w:tcW w:w="1913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6B7B29CF" w14:textId="77777777" w:rsidR="00161779" w:rsidRPr="00754FDD" w:rsidRDefault="00161779" w:rsidP="001A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>Definición</w:t>
            </w:r>
          </w:p>
        </w:tc>
        <w:tc>
          <w:tcPr>
            <w:tcW w:w="691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6EFFD2DF" w14:textId="77777777" w:rsidR="00161779" w:rsidRPr="00754FDD" w:rsidRDefault="00161779" w:rsidP="001A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>Signo esperado y racionalidad</w:t>
            </w:r>
          </w:p>
        </w:tc>
        <w:tc>
          <w:tcPr>
            <w:tcW w:w="579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6749ABC5" w14:textId="77777777" w:rsidR="00161779" w:rsidRPr="00754FDD" w:rsidRDefault="00161779" w:rsidP="001A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>Unidad de medida</w:t>
            </w:r>
          </w:p>
        </w:tc>
        <w:tc>
          <w:tcPr>
            <w:tcW w:w="578" w:type="pct"/>
            <w:tcBorders>
              <w:top w:val="single" w:sz="24" w:space="0" w:color="5B9BD5" w:themeColor="accent5"/>
              <w:bottom w:val="single" w:sz="24" w:space="0" w:color="5B9BD5" w:themeColor="accent5"/>
            </w:tcBorders>
            <w:shd w:val="clear" w:color="auto" w:fill="auto"/>
            <w:hideMark/>
          </w:tcPr>
          <w:p w14:paraId="104FA107" w14:textId="77777777" w:rsidR="00161779" w:rsidRPr="00754FDD" w:rsidRDefault="00161779" w:rsidP="001A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>Fuente</w:t>
            </w:r>
          </w:p>
        </w:tc>
      </w:tr>
      <w:tr w:rsidR="00161779" w:rsidRPr="00754FDD" w14:paraId="447FBA6D" w14:textId="77777777" w:rsidTr="001A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2F3CAE05" w14:textId="77777777" w:rsidR="00161779" w:rsidRPr="00754FDD" w:rsidRDefault="00161779" w:rsidP="001A51F2">
            <w:pPr>
              <w:jc w:val="both"/>
              <w:rPr>
                <w:b w:val="0"/>
              </w:rPr>
            </w:pPr>
            <w:r w:rsidRPr="00754FDD">
              <w:rPr>
                <w:b w:val="0"/>
              </w:rPr>
              <w:t>Ingreso del hogar</w:t>
            </w:r>
          </w:p>
        </w:tc>
        <w:tc>
          <w:tcPr>
            <w:tcW w:w="525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45ECB14F" w14:textId="77777777" w:rsidR="00161779" w:rsidRPr="00754FDD" w:rsidRDefault="00161779" w:rsidP="001A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I</w:t>
            </w:r>
          </w:p>
        </w:tc>
        <w:tc>
          <w:tcPr>
            <w:tcW w:w="1913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245B0615" w14:textId="77777777" w:rsidR="00161779" w:rsidRPr="00754FDD" w:rsidRDefault="00161779" w:rsidP="001A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Los ingresos de los hogares comprenden todas las entradas en efectivo o en especie (bienes y servicios) percibidas por el hogar o por alguno de sus miembros a intervalos anuales o más frecuentes. (INEC, 2012).</w:t>
            </w:r>
          </w:p>
        </w:tc>
        <w:tc>
          <w:tcPr>
            <w:tcW w:w="691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53051A10" w14:textId="77777777" w:rsidR="00161779" w:rsidRPr="00754FDD" w:rsidRDefault="00161779" w:rsidP="001A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Signo positivo</w:t>
            </w:r>
          </w:p>
        </w:tc>
        <w:tc>
          <w:tcPr>
            <w:tcW w:w="579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05C5A7C4" w14:textId="77777777" w:rsidR="00161779" w:rsidRPr="00754FDD" w:rsidRDefault="00161779" w:rsidP="001A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USD</w:t>
            </w:r>
          </w:p>
        </w:tc>
        <w:tc>
          <w:tcPr>
            <w:tcW w:w="578" w:type="pct"/>
            <w:tcBorders>
              <w:top w:val="single" w:sz="24" w:space="0" w:color="5B9BD5" w:themeColor="accent5"/>
            </w:tcBorders>
            <w:shd w:val="clear" w:color="auto" w:fill="auto"/>
          </w:tcPr>
          <w:p w14:paraId="0AC1B66A" w14:textId="77777777" w:rsidR="00161779" w:rsidRPr="00754FDD" w:rsidRDefault="00161779" w:rsidP="001A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Encuesta a hogares, 2019</w:t>
            </w:r>
          </w:p>
        </w:tc>
      </w:tr>
      <w:tr w:rsidR="00161779" w:rsidRPr="00754FDD" w14:paraId="506F0B6D" w14:textId="77777777" w:rsidTr="001A51F2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731FD118" w14:textId="77777777" w:rsidR="00161779" w:rsidRPr="00754FDD" w:rsidRDefault="00161779" w:rsidP="001A51F2">
            <w:pPr>
              <w:jc w:val="both"/>
              <w:rPr>
                <w:b w:val="0"/>
              </w:rPr>
            </w:pPr>
            <w:r w:rsidRPr="00754FDD">
              <w:rPr>
                <w:b w:val="0"/>
                <w:color w:val="000000"/>
              </w:rPr>
              <w:t>Pérdidas en el hogar</w:t>
            </w:r>
          </w:p>
        </w:tc>
        <w:tc>
          <w:tcPr>
            <w:tcW w:w="525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26A57C55" w14:textId="77777777" w:rsidR="00161779" w:rsidRPr="00754FDD" w:rsidRDefault="00161779" w:rsidP="001A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Pdom</w:t>
            </w:r>
          </w:p>
        </w:tc>
        <w:tc>
          <w:tcPr>
            <w:tcW w:w="1913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359F9109" w14:textId="77777777" w:rsidR="00161779" w:rsidRPr="00754FDD" w:rsidRDefault="00161779" w:rsidP="001A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t xml:space="preserve">Se entiende por bienes muebles, todos aquellos bienes que son susceptibles de trasladarse de un lugar a otro. </w:t>
            </w:r>
            <w:r w:rsidRPr="00754FDD">
              <w:rPr>
                <w:color w:val="000000"/>
              </w:rPr>
              <w:t>Incluye muebles, cocina, refrigeradora, televisor, anaquel, lavadora, vitrina, perchas, otros. Además, se contabilizan pérdidas en e</w:t>
            </w:r>
            <w:r w:rsidRPr="00754FDD">
              <w:rPr>
                <w:bCs/>
                <w:color w:val="000000"/>
              </w:rPr>
              <w:t>quipos, artefactos y dispositivos informáticos.</w:t>
            </w:r>
          </w:p>
        </w:tc>
        <w:tc>
          <w:tcPr>
            <w:tcW w:w="691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458BDD09" w14:textId="77777777" w:rsidR="00161779" w:rsidRPr="00754FDD" w:rsidRDefault="00161779" w:rsidP="001A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Signo positivo</w:t>
            </w:r>
          </w:p>
        </w:tc>
        <w:tc>
          <w:tcPr>
            <w:tcW w:w="579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21AB8926" w14:textId="77777777" w:rsidR="00161779" w:rsidRPr="00754FDD" w:rsidRDefault="00161779" w:rsidP="001A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4CB93957" w14:textId="77777777" w:rsidR="00161779" w:rsidRPr="00754FDD" w:rsidRDefault="00161779" w:rsidP="001A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USD</w:t>
            </w:r>
          </w:p>
        </w:tc>
        <w:tc>
          <w:tcPr>
            <w:tcW w:w="578" w:type="pct"/>
            <w:tcBorders>
              <w:top w:val="single" w:sz="24" w:space="0" w:color="5B9BD5" w:themeColor="accent5"/>
            </w:tcBorders>
            <w:shd w:val="clear" w:color="auto" w:fill="auto"/>
            <w:vAlign w:val="center"/>
          </w:tcPr>
          <w:p w14:paraId="78D9A3D5" w14:textId="77777777" w:rsidR="00161779" w:rsidRPr="00754FDD" w:rsidRDefault="00161779" w:rsidP="001A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Encuesta a hogares, 2019</w:t>
            </w:r>
          </w:p>
        </w:tc>
      </w:tr>
      <w:tr w:rsidR="00161779" w:rsidRPr="00754FDD" w14:paraId="4F0A7FE7" w14:textId="77777777" w:rsidTr="001A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bottom w:val="single" w:sz="24" w:space="0" w:color="5B9BD5" w:themeColor="accent5"/>
            </w:tcBorders>
            <w:shd w:val="clear" w:color="auto" w:fill="auto"/>
            <w:vAlign w:val="center"/>
          </w:tcPr>
          <w:p w14:paraId="4F1647E9" w14:textId="77777777" w:rsidR="00161779" w:rsidRPr="00754FDD" w:rsidRDefault="00161779" w:rsidP="001A51F2">
            <w:pPr>
              <w:rPr>
                <w:b w:val="0"/>
              </w:rPr>
            </w:pPr>
            <w:r w:rsidRPr="00754FDD">
              <w:rPr>
                <w:b w:val="0"/>
              </w:rPr>
              <w:t>Pérdidas productivas</w:t>
            </w:r>
          </w:p>
        </w:tc>
        <w:tc>
          <w:tcPr>
            <w:tcW w:w="525" w:type="pct"/>
            <w:tcBorders>
              <w:bottom w:val="single" w:sz="24" w:space="0" w:color="5B9BD5" w:themeColor="accent5"/>
            </w:tcBorders>
            <w:shd w:val="clear" w:color="auto" w:fill="auto"/>
          </w:tcPr>
          <w:p w14:paraId="24D1A464" w14:textId="77777777" w:rsidR="00161779" w:rsidRPr="00754FDD" w:rsidRDefault="00161779" w:rsidP="001A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3" w:type="pct"/>
            <w:tcBorders>
              <w:bottom w:val="single" w:sz="24" w:space="0" w:color="5B9BD5" w:themeColor="accent5"/>
            </w:tcBorders>
            <w:shd w:val="clear" w:color="auto" w:fill="auto"/>
          </w:tcPr>
          <w:p w14:paraId="199C55A4" w14:textId="77777777" w:rsidR="00161779" w:rsidRPr="00754FDD" w:rsidRDefault="00161779" w:rsidP="001A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>Se define como pérdida productiva a la valoración de los efectos sobre los acervos, y la valoración de los efectos sobre los flujos, según sectores. A los efectos sobre los acervos se los denomina daños, los efectos sobre los flujos pueden ser pérdidas o gastos adicionales y los sectores definidos son cuatro: 1) el sector social, 2) el sector de infraestructura, 3) el sector económico o productivo, y 4) el sector medioambiental. (INEC, 2016).</w:t>
            </w:r>
          </w:p>
          <w:p w14:paraId="1D8E28BB" w14:textId="77777777" w:rsidR="00161779" w:rsidRPr="00754FDD" w:rsidRDefault="00161779" w:rsidP="001A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t xml:space="preserve">Asimismo, se incluyen los bienes que se dejan de producir y servicios que se dejan de </w:t>
            </w:r>
            <w:r w:rsidRPr="00754FDD">
              <w:lastRenderedPageBreak/>
              <w:t>prestar durante un lapso que se inicia tan pronto ocurre el desastre, y se prolonga hasta se alcanza la recuperaciòn y la reconstrucción total (INEC, 2016)</w:t>
            </w:r>
          </w:p>
        </w:tc>
        <w:tc>
          <w:tcPr>
            <w:tcW w:w="691" w:type="pct"/>
            <w:tcBorders>
              <w:bottom w:val="single" w:sz="24" w:space="0" w:color="5B9BD5" w:themeColor="accent5"/>
            </w:tcBorders>
            <w:shd w:val="clear" w:color="auto" w:fill="auto"/>
            <w:vAlign w:val="center"/>
          </w:tcPr>
          <w:p w14:paraId="71BD5197" w14:textId="77777777" w:rsidR="00161779" w:rsidRPr="00754FDD" w:rsidRDefault="00161779" w:rsidP="001A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lastRenderedPageBreak/>
              <w:t>Signo positivo</w:t>
            </w:r>
          </w:p>
        </w:tc>
        <w:tc>
          <w:tcPr>
            <w:tcW w:w="579" w:type="pct"/>
            <w:tcBorders>
              <w:bottom w:val="single" w:sz="24" w:space="0" w:color="5B9BD5" w:themeColor="accent5"/>
            </w:tcBorders>
            <w:shd w:val="clear" w:color="auto" w:fill="auto"/>
            <w:vAlign w:val="center"/>
          </w:tcPr>
          <w:p w14:paraId="06F00EE3" w14:textId="77777777" w:rsidR="00161779" w:rsidRPr="00754FDD" w:rsidRDefault="00161779" w:rsidP="001A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277C5D9" w14:textId="77777777" w:rsidR="00161779" w:rsidRPr="00754FDD" w:rsidRDefault="00161779" w:rsidP="001A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USD</w:t>
            </w:r>
          </w:p>
        </w:tc>
        <w:tc>
          <w:tcPr>
            <w:tcW w:w="578" w:type="pct"/>
            <w:tcBorders>
              <w:bottom w:val="single" w:sz="24" w:space="0" w:color="5B9BD5" w:themeColor="accent5"/>
            </w:tcBorders>
            <w:shd w:val="clear" w:color="auto" w:fill="auto"/>
            <w:vAlign w:val="center"/>
          </w:tcPr>
          <w:p w14:paraId="07EDF632" w14:textId="77777777" w:rsidR="00161779" w:rsidRPr="00754FDD" w:rsidRDefault="00161779" w:rsidP="001A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FDD">
              <w:rPr>
                <w:color w:val="000000"/>
              </w:rPr>
              <w:t>Encuesta a hogares, 2019</w:t>
            </w:r>
          </w:p>
        </w:tc>
      </w:tr>
    </w:tbl>
    <w:p w14:paraId="60D9B368" w14:textId="77777777" w:rsidR="00161779" w:rsidRPr="00754FDD" w:rsidRDefault="00161779" w:rsidP="00161779">
      <w:pPr>
        <w:spacing w:line="360" w:lineRule="auto"/>
        <w:jc w:val="both"/>
        <w:rPr>
          <w:rFonts w:eastAsia="Arial"/>
        </w:rPr>
      </w:pPr>
    </w:p>
    <w:p w14:paraId="0A72BA1E" w14:textId="77777777" w:rsidR="00161779" w:rsidRPr="00754FDD" w:rsidRDefault="00161779" w:rsidP="00FB1E0B">
      <w:pPr>
        <w:pStyle w:val="Descripcin"/>
        <w:spacing w:after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54F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754FDD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Resultados de la estimación del modelo</w:t>
      </w:r>
    </w:p>
    <w:tbl>
      <w:tblPr>
        <w:tblStyle w:val="Sombreadoclaro-nfasis1"/>
        <w:tblW w:w="6659" w:type="dxa"/>
        <w:jc w:val="center"/>
        <w:tblLook w:val="06A0" w:firstRow="1" w:lastRow="0" w:firstColumn="1" w:lastColumn="0" w:noHBand="1" w:noVBand="1"/>
      </w:tblPr>
      <w:tblGrid>
        <w:gridCol w:w="1110"/>
        <w:gridCol w:w="1596"/>
        <w:gridCol w:w="1596"/>
        <w:gridCol w:w="1596"/>
        <w:gridCol w:w="1716"/>
      </w:tblGrid>
      <w:tr w:rsidR="00161779" w:rsidRPr="00754FDD" w14:paraId="1FC73DDB" w14:textId="77777777" w:rsidTr="001A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6E5AC08D" w14:textId="77777777" w:rsidR="00161779" w:rsidRPr="00754FDD" w:rsidRDefault="00161779" w:rsidP="001A51F2">
            <w:pPr>
              <w:spacing w:line="360" w:lineRule="auto"/>
              <w:jc w:val="both"/>
              <w:rPr>
                <w:bCs w:val="0"/>
                <w:color w:val="000000"/>
                <w:lang w:val="es-ES" w:eastAsia="es-ES"/>
              </w:rPr>
            </w:pPr>
            <w:r w:rsidRPr="00754FDD">
              <w:rPr>
                <w:bCs w:val="0"/>
                <w:color w:val="000000"/>
                <w:lang w:val="es-ES" w:eastAsia="es-ES"/>
              </w:rPr>
              <w:t>Variable</w:t>
            </w:r>
          </w:p>
        </w:tc>
        <w:tc>
          <w:tcPr>
            <w:tcW w:w="1366" w:type="dxa"/>
            <w:noWrap/>
            <w:hideMark/>
          </w:tcPr>
          <w:p w14:paraId="2A99CF25" w14:textId="77777777" w:rsidR="00161779" w:rsidRPr="00754FDD" w:rsidRDefault="00161779" w:rsidP="001A51F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lang w:val="es-ES" w:eastAsia="es-ES"/>
              </w:rPr>
            </w:pPr>
            <w:r w:rsidRPr="00754FDD">
              <w:rPr>
                <w:bCs w:val="0"/>
                <w:color w:val="000000"/>
                <w:lang w:val="es-ES" w:eastAsia="es-ES"/>
              </w:rPr>
              <w:t>eq01</w:t>
            </w:r>
          </w:p>
        </w:tc>
        <w:tc>
          <w:tcPr>
            <w:tcW w:w="1500" w:type="dxa"/>
            <w:noWrap/>
            <w:hideMark/>
          </w:tcPr>
          <w:p w14:paraId="69AC83E6" w14:textId="77777777" w:rsidR="00161779" w:rsidRPr="00754FDD" w:rsidRDefault="00161779" w:rsidP="001A51F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lang w:val="es-ES" w:eastAsia="es-ES"/>
              </w:rPr>
            </w:pPr>
            <w:r w:rsidRPr="00754FDD">
              <w:rPr>
                <w:bCs w:val="0"/>
                <w:color w:val="000000"/>
                <w:lang w:val="es-ES" w:eastAsia="es-ES"/>
              </w:rPr>
              <w:t>eq02</w:t>
            </w:r>
          </w:p>
        </w:tc>
        <w:tc>
          <w:tcPr>
            <w:tcW w:w="1366" w:type="dxa"/>
            <w:noWrap/>
            <w:hideMark/>
          </w:tcPr>
          <w:p w14:paraId="1A4CF702" w14:textId="77777777" w:rsidR="00161779" w:rsidRPr="00754FDD" w:rsidRDefault="00161779" w:rsidP="001A51F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lang w:val="es-ES" w:eastAsia="es-ES"/>
              </w:rPr>
            </w:pPr>
            <w:r w:rsidRPr="00754FDD">
              <w:rPr>
                <w:bCs w:val="0"/>
                <w:color w:val="000000"/>
                <w:lang w:val="es-ES" w:eastAsia="es-ES"/>
              </w:rPr>
              <w:t>eq03</w:t>
            </w:r>
          </w:p>
        </w:tc>
        <w:tc>
          <w:tcPr>
            <w:tcW w:w="1466" w:type="dxa"/>
            <w:noWrap/>
            <w:hideMark/>
          </w:tcPr>
          <w:p w14:paraId="15ACC326" w14:textId="77777777" w:rsidR="00161779" w:rsidRPr="00754FDD" w:rsidRDefault="00161779" w:rsidP="001A51F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lang w:val="es-ES" w:eastAsia="es-ES"/>
              </w:rPr>
            </w:pPr>
            <w:r w:rsidRPr="00754FDD">
              <w:rPr>
                <w:bCs w:val="0"/>
                <w:color w:val="000000"/>
                <w:lang w:val="es-ES" w:eastAsia="es-ES"/>
              </w:rPr>
              <w:t>eq04</w:t>
            </w:r>
          </w:p>
        </w:tc>
      </w:tr>
      <w:tr w:rsidR="00161779" w:rsidRPr="00754FDD" w14:paraId="715E2E85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99CC51D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LnPdom</w:t>
            </w:r>
          </w:p>
        </w:tc>
        <w:tc>
          <w:tcPr>
            <w:tcW w:w="1366" w:type="dxa"/>
            <w:noWrap/>
            <w:hideMark/>
          </w:tcPr>
          <w:p w14:paraId="4E42B91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.03283142</w:t>
            </w:r>
          </w:p>
        </w:tc>
        <w:tc>
          <w:tcPr>
            <w:tcW w:w="1500" w:type="dxa"/>
            <w:noWrap/>
            <w:hideMark/>
          </w:tcPr>
          <w:p w14:paraId="70C43D43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-1.1893738***</w:t>
            </w:r>
          </w:p>
        </w:tc>
        <w:tc>
          <w:tcPr>
            <w:tcW w:w="1366" w:type="dxa"/>
            <w:noWrap/>
            <w:hideMark/>
          </w:tcPr>
          <w:p w14:paraId="336F283B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.28908795***</w:t>
            </w:r>
          </w:p>
        </w:tc>
        <w:tc>
          <w:tcPr>
            <w:tcW w:w="1466" w:type="dxa"/>
            <w:noWrap/>
            <w:hideMark/>
          </w:tcPr>
          <w:p w14:paraId="4A6720B2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 </w:t>
            </w:r>
          </w:p>
        </w:tc>
      </w:tr>
      <w:tr w:rsidR="00161779" w:rsidRPr="00754FDD" w14:paraId="029FC2E5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452B86B3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LnPprod</w:t>
            </w:r>
          </w:p>
        </w:tc>
        <w:tc>
          <w:tcPr>
            <w:tcW w:w="1366" w:type="dxa"/>
            <w:noWrap/>
            <w:hideMark/>
          </w:tcPr>
          <w:p w14:paraId="31DB4789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.32837004***</w:t>
            </w:r>
          </w:p>
        </w:tc>
        <w:tc>
          <w:tcPr>
            <w:tcW w:w="1500" w:type="dxa"/>
            <w:noWrap/>
            <w:hideMark/>
          </w:tcPr>
          <w:p w14:paraId="445429B0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2.1536863***</w:t>
            </w:r>
          </w:p>
        </w:tc>
        <w:tc>
          <w:tcPr>
            <w:tcW w:w="1366" w:type="dxa"/>
            <w:noWrap/>
            <w:hideMark/>
          </w:tcPr>
          <w:p w14:paraId="6BD01363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28849DA0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.3754863***</w:t>
            </w:r>
          </w:p>
        </w:tc>
      </w:tr>
      <w:tr w:rsidR="00161779" w:rsidRPr="00754FDD" w14:paraId="15A0049C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46046E68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Cons</w:t>
            </w:r>
          </w:p>
        </w:tc>
        <w:tc>
          <w:tcPr>
            <w:tcW w:w="1366" w:type="dxa"/>
            <w:noWrap/>
            <w:hideMark/>
          </w:tcPr>
          <w:p w14:paraId="330C73D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6.0964848***</w:t>
            </w:r>
          </w:p>
        </w:tc>
        <w:tc>
          <w:tcPr>
            <w:tcW w:w="1500" w:type="dxa"/>
            <w:noWrap/>
            <w:hideMark/>
          </w:tcPr>
          <w:p w14:paraId="7FC594D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59ECC93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6.9404468***</w:t>
            </w:r>
          </w:p>
        </w:tc>
        <w:tc>
          <w:tcPr>
            <w:tcW w:w="1466" w:type="dxa"/>
            <w:noWrap/>
            <w:hideMark/>
          </w:tcPr>
          <w:p w14:paraId="6BF0F2D0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5.9406063****</w:t>
            </w:r>
          </w:p>
        </w:tc>
      </w:tr>
      <w:tr w:rsidR="00161779" w:rsidRPr="00754FDD" w14:paraId="3E7B74B8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6DD8FA4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N</w:t>
            </w:r>
          </w:p>
        </w:tc>
        <w:tc>
          <w:tcPr>
            <w:tcW w:w="1366" w:type="dxa"/>
            <w:noWrap/>
            <w:hideMark/>
          </w:tcPr>
          <w:p w14:paraId="6CDC5E8B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56</w:t>
            </w:r>
          </w:p>
        </w:tc>
        <w:tc>
          <w:tcPr>
            <w:tcW w:w="1500" w:type="dxa"/>
            <w:noWrap/>
            <w:hideMark/>
          </w:tcPr>
          <w:p w14:paraId="5D23DDC6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56</w:t>
            </w:r>
          </w:p>
        </w:tc>
        <w:tc>
          <w:tcPr>
            <w:tcW w:w="1366" w:type="dxa"/>
            <w:noWrap/>
            <w:hideMark/>
          </w:tcPr>
          <w:p w14:paraId="43FFE8B2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56</w:t>
            </w:r>
          </w:p>
        </w:tc>
        <w:tc>
          <w:tcPr>
            <w:tcW w:w="1466" w:type="dxa"/>
            <w:noWrap/>
            <w:hideMark/>
          </w:tcPr>
          <w:p w14:paraId="4B8EC07E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94</w:t>
            </w:r>
          </w:p>
        </w:tc>
      </w:tr>
      <w:tr w:rsidR="00161779" w:rsidRPr="00754FDD" w14:paraId="336D9C5E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139939B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r2</w:t>
            </w:r>
          </w:p>
        </w:tc>
        <w:tc>
          <w:tcPr>
            <w:tcW w:w="1366" w:type="dxa"/>
            <w:noWrap/>
            <w:hideMark/>
          </w:tcPr>
          <w:p w14:paraId="38E07634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.97662722</w:t>
            </w:r>
          </w:p>
        </w:tc>
        <w:tc>
          <w:tcPr>
            <w:tcW w:w="1500" w:type="dxa"/>
            <w:noWrap/>
            <w:hideMark/>
          </w:tcPr>
          <w:p w14:paraId="16237B04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.99709088</w:t>
            </w:r>
          </w:p>
        </w:tc>
        <w:tc>
          <w:tcPr>
            <w:tcW w:w="1366" w:type="dxa"/>
            <w:noWrap/>
            <w:hideMark/>
          </w:tcPr>
          <w:p w14:paraId="6A32FEE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.92200064</w:t>
            </w:r>
          </w:p>
        </w:tc>
        <w:tc>
          <w:tcPr>
            <w:tcW w:w="1466" w:type="dxa"/>
            <w:noWrap/>
            <w:hideMark/>
          </w:tcPr>
          <w:p w14:paraId="416AA5F6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.98272666</w:t>
            </w:r>
          </w:p>
        </w:tc>
      </w:tr>
      <w:tr w:rsidR="00161779" w:rsidRPr="00754FDD" w14:paraId="72EDED04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F149F5D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r2_a</w:t>
            </w:r>
          </w:p>
        </w:tc>
        <w:tc>
          <w:tcPr>
            <w:tcW w:w="1366" w:type="dxa"/>
            <w:noWrap/>
            <w:hideMark/>
          </w:tcPr>
          <w:p w14:paraId="253264C4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.97574523</w:t>
            </w:r>
          </w:p>
        </w:tc>
        <w:tc>
          <w:tcPr>
            <w:tcW w:w="1500" w:type="dxa"/>
            <w:noWrap/>
            <w:hideMark/>
          </w:tcPr>
          <w:p w14:paraId="19506C9A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.99698314</w:t>
            </w:r>
          </w:p>
        </w:tc>
        <w:tc>
          <w:tcPr>
            <w:tcW w:w="1366" w:type="dxa"/>
            <w:noWrap/>
            <w:hideMark/>
          </w:tcPr>
          <w:p w14:paraId="3D6308AB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.92200064</w:t>
            </w:r>
          </w:p>
        </w:tc>
        <w:tc>
          <w:tcPr>
            <w:tcW w:w="1466" w:type="dxa"/>
            <w:noWrap/>
            <w:hideMark/>
          </w:tcPr>
          <w:p w14:paraId="1B504EDB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.98253891</w:t>
            </w:r>
          </w:p>
        </w:tc>
      </w:tr>
      <w:tr w:rsidR="00161779" w:rsidRPr="00754FDD" w14:paraId="0F6A6FE2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CAA9AE8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F</w:t>
            </w:r>
          </w:p>
        </w:tc>
        <w:tc>
          <w:tcPr>
            <w:tcW w:w="1366" w:type="dxa"/>
            <w:noWrap/>
            <w:hideMark/>
          </w:tcPr>
          <w:p w14:paraId="280571DA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1107.2974</w:t>
            </w:r>
          </w:p>
        </w:tc>
        <w:tc>
          <w:tcPr>
            <w:tcW w:w="1500" w:type="dxa"/>
            <w:noWrap/>
            <w:hideMark/>
          </w:tcPr>
          <w:p w14:paraId="73ED7B2E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9254.1729</w:t>
            </w:r>
          </w:p>
        </w:tc>
        <w:tc>
          <w:tcPr>
            <w:tcW w:w="1366" w:type="dxa"/>
            <w:noWrap/>
            <w:hideMark/>
          </w:tcPr>
          <w:p w14:paraId="789B7C62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638.3134</w:t>
            </w:r>
          </w:p>
        </w:tc>
        <w:tc>
          <w:tcPr>
            <w:tcW w:w="1466" w:type="dxa"/>
            <w:noWrap/>
            <w:hideMark/>
          </w:tcPr>
          <w:p w14:paraId="7FFFB25C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5234.1268</w:t>
            </w:r>
          </w:p>
        </w:tc>
      </w:tr>
      <w:tr w:rsidR="00161779" w:rsidRPr="00754FDD" w14:paraId="63B85753" w14:textId="77777777" w:rsidTr="001A51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152D958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Aic</w:t>
            </w:r>
          </w:p>
        </w:tc>
        <w:tc>
          <w:tcPr>
            <w:tcW w:w="1366" w:type="dxa"/>
            <w:noWrap/>
            <w:hideMark/>
          </w:tcPr>
          <w:p w14:paraId="6268A6D6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-173.22926</w:t>
            </w:r>
          </w:p>
        </w:tc>
        <w:tc>
          <w:tcPr>
            <w:tcW w:w="1500" w:type="dxa"/>
            <w:noWrap/>
            <w:hideMark/>
          </w:tcPr>
          <w:p w14:paraId="63D53D7A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79.698138</w:t>
            </w:r>
          </w:p>
        </w:tc>
        <w:tc>
          <w:tcPr>
            <w:tcW w:w="1366" w:type="dxa"/>
            <w:noWrap/>
            <w:hideMark/>
          </w:tcPr>
          <w:p w14:paraId="06A45F8B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-107.74207</w:t>
            </w:r>
          </w:p>
        </w:tc>
        <w:tc>
          <w:tcPr>
            <w:tcW w:w="1466" w:type="dxa"/>
            <w:noWrap/>
            <w:hideMark/>
          </w:tcPr>
          <w:p w14:paraId="6AF21263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-240.66883</w:t>
            </w:r>
          </w:p>
        </w:tc>
      </w:tr>
      <w:tr w:rsidR="00161779" w:rsidRPr="00754FDD" w14:paraId="0196296A" w14:textId="77777777" w:rsidTr="001A51F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1FAF2A1" w14:textId="77777777" w:rsidR="00161779" w:rsidRPr="00754FDD" w:rsidRDefault="00161779" w:rsidP="001A51F2">
            <w:pPr>
              <w:spacing w:line="360" w:lineRule="auto"/>
              <w:jc w:val="both"/>
              <w:rPr>
                <w:b w:val="0"/>
                <w:bCs w:val="0"/>
                <w:color w:val="000000"/>
                <w:lang w:val="es-ES" w:eastAsia="es-ES"/>
              </w:rPr>
            </w:pPr>
            <w:r w:rsidRPr="00754FDD">
              <w:rPr>
                <w:b w:val="0"/>
                <w:bCs w:val="0"/>
                <w:color w:val="000000"/>
                <w:lang w:val="es-ES" w:eastAsia="es-ES"/>
              </w:rPr>
              <w:t>Bic</w:t>
            </w:r>
          </w:p>
        </w:tc>
        <w:tc>
          <w:tcPr>
            <w:tcW w:w="1366" w:type="dxa"/>
            <w:noWrap/>
            <w:hideMark/>
          </w:tcPr>
          <w:p w14:paraId="033ADE69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-167.15321</w:t>
            </w:r>
          </w:p>
        </w:tc>
        <w:tc>
          <w:tcPr>
            <w:tcW w:w="1500" w:type="dxa"/>
            <w:noWrap/>
            <w:hideMark/>
          </w:tcPr>
          <w:p w14:paraId="04732668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83.748841</w:t>
            </w:r>
          </w:p>
        </w:tc>
        <w:tc>
          <w:tcPr>
            <w:tcW w:w="1366" w:type="dxa"/>
            <w:noWrap/>
            <w:hideMark/>
          </w:tcPr>
          <w:p w14:paraId="50952977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-103.69137</w:t>
            </w:r>
          </w:p>
        </w:tc>
        <w:tc>
          <w:tcPr>
            <w:tcW w:w="1466" w:type="dxa"/>
            <w:noWrap/>
            <w:hideMark/>
          </w:tcPr>
          <w:p w14:paraId="0564A838" w14:textId="77777777" w:rsidR="00161779" w:rsidRPr="00754FDD" w:rsidRDefault="00161779" w:rsidP="001A51F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-235.58224</w:t>
            </w:r>
          </w:p>
        </w:tc>
      </w:tr>
    </w:tbl>
    <w:p w14:paraId="78BF7C67" w14:textId="77777777" w:rsidR="00161779" w:rsidRPr="00754FDD" w:rsidRDefault="00161779" w:rsidP="00161779">
      <w:pPr>
        <w:spacing w:line="360" w:lineRule="auto"/>
        <w:rPr>
          <w:b/>
          <w:bCs/>
        </w:rPr>
      </w:pPr>
      <w:r w:rsidRPr="00754FDD">
        <w:rPr>
          <w:lang w:val="en-US"/>
        </w:rPr>
        <w:t xml:space="preserve">                       Leyenda: * p&lt;0.05; ** p&lt;0.01; *** p&lt;0.001</w:t>
      </w:r>
    </w:p>
    <w:p w14:paraId="651484C3" w14:textId="77777777" w:rsidR="00161779" w:rsidRPr="00754FDD" w:rsidRDefault="00161779" w:rsidP="00161779">
      <w:pPr>
        <w:spacing w:line="360" w:lineRule="auto"/>
        <w:ind w:left="708"/>
        <w:jc w:val="both"/>
      </w:pPr>
      <w:r w:rsidRPr="00754FDD">
        <w:rPr>
          <w:b/>
          <w:bCs/>
        </w:rPr>
        <w:t xml:space="preserve">           Fuente: </w:t>
      </w:r>
      <w:r w:rsidRPr="00754FDD">
        <w:t>Elaboración propia en base a la estimación de Stata</w:t>
      </w:r>
    </w:p>
    <w:p w14:paraId="78F124EE" w14:textId="47866042" w:rsidR="00161779" w:rsidRDefault="00161779"/>
    <w:p w14:paraId="0656053D" w14:textId="77777777" w:rsidR="00161779" w:rsidRPr="00754FDD" w:rsidRDefault="00161779" w:rsidP="00FB1E0B">
      <w:pPr>
        <w:autoSpaceDE w:val="0"/>
        <w:autoSpaceDN w:val="0"/>
        <w:adjustRightInd w:val="0"/>
        <w:spacing w:line="360" w:lineRule="auto"/>
        <w:rPr>
          <w:rFonts w:eastAsiaTheme="minorEastAsia"/>
          <w:i/>
          <w:iCs/>
        </w:rPr>
      </w:pPr>
      <w:r w:rsidRPr="00754FDD">
        <w:rPr>
          <w:b/>
          <w:bCs/>
          <w:i/>
          <w:iCs/>
        </w:rPr>
        <w:t xml:space="preserve">Tabla </w:t>
      </w:r>
      <w:r w:rsidRPr="00754FDD">
        <w:rPr>
          <w:b/>
          <w:bCs/>
          <w:i/>
          <w:iCs/>
        </w:rPr>
        <w:fldChar w:fldCharType="begin"/>
      </w:r>
      <w:r w:rsidRPr="00754FDD">
        <w:rPr>
          <w:b/>
          <w:bCs/>
        </w:rPr>
        <w:instrText xml:space="preserve"> SEQ Figura \* ARABIC </w:instrText>
      </w:r>
      <w:r w:rsidRPr="00754FDD">
        <w:rPr>
          <w:b/>
          <w:bCs/>
          <w:i/>
          <w:iCs/>
        </w:rPr>
        <w:fldChar w:fldCharType="separate"/>
      </w:r>
      <w:r w:rsidRPr="00754FDD">
        <w:rPr>
          <w:b/>
          <w:bCs/>
        </w:rPr>
        <w:t>3</w:t>
      </w:r>
      <w:r w:rsidRPr="00754FDD">
        <w:rPr>
          <w:b/>
          <w:bCs/>
          <w:i/>
          <w:iCs/>
        </w:rPr>
        <w:fldChar w:fldCharType="end"/>
      </w:r>
      <w:r w:rsidRPr="00754FDD">
        <w:t xml:space="preserve"> Regresión Lineal</w:t>
      </w:r>
    </w:p>
    <w:tbl>
      <w:tblPr>
        <w:tblW w:w="7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1160"/>
        <w:gridCol w:w="2135"/>
        <w:gridCol w:w="1261"/>
        <w:gridCol w:w="797"/>
      </w:tblGrid>
      <w:tr w:rsidR="00161779" w:rsidRPr="00754FDD" w14:paraId="2209363C" w14:textId="77777777" w:rsidTr="001A51F2">
        <w:trPr>
          <w:trHeight w:val="198"/>
          <w:jc w:val="center"/>
        </w:trPr>
        <w:tc>
          <w:tcPr>
            <w:tcW w:w="79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399A7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Variable dependiente: Ingresos (lnI)</w:t>
            </w:r>
          </w:p>
          <w:p w14:paraId="63FA60C0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Variable independiente: Pérdida productiva (lnPprod)</w:t>
            </w:r>
          </w:p>
          <w:p w14:paraId="175E91B9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Número de observaciones: 94</w:t>
            </w:r>
          </w:p>
        </w:tc>
      </w:tr>
      <w:tr w:rsidR="00161779" w:rsidRPr="00754FDD" w14:paraId="4BA81F13" w14:textId="77777777" w:rsidTr="001A51F2">
        <w:trPr>
          <w:trHeight w:val="198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EF9" w14:textId="77777777" w:rsidR="00161779" w:rsidRPr="00754FDD" w:rsidRDefault="00161779" w:rsidP="001A51F2">
            <w:pPr>
              <w:jc w:val="both"/>
              <w:rPr>
                <w:b/>
                <w:bCs/>
                <w:color w:val="000000"/>
                <w:lang w:val="es-ES" w:eastAsia="es-ES"/>
              </w:rPr>
            </w:pPr>
            <w:r w:rsidRPr="00754FDD">
              <w:rPr>
                <w:b/>
                <w:bCs/>
                <w:color w:val="000000"/>
                <w:lang w:val="es-ES" w:eastAsia="es-ES"/>
              </w:rPr>
              <w:t>Variables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29E" w14:textId="77777777" w:rsidR="00161779" w:rsidRPr="00754FDD" w:rsidRDefault="00161779" w:rsidP="001A51F2">
            <w:pPr>
              <w:jc w:val="both"/>
              <w:rPr>
                <w:b/>
                <w:bCs/>
                <w:color w:val="000000"/>
                <w:lang w:val="es-ES" w:eastAsia="es-ES"/>
              </w:rPr>
            </w:pPr>
            <w:r w:rsidRPr="00754FDD">
              <w:rPr>
                <w:b/>
                <w:bCs/>
                <w:color w:val="000000"/>
                <w:lang w:val="es-ES" w:eastAsia="es-ES"/>
              </w:rPr>
              <w:t>Coef.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145" w14:textId="77777777" w:rsidR="00161779" w:rsidRPr="00754FDD" w:rsidRDefault="00161779" w:rsidP="001A51F2">
            <w:pPr>
              <w:jc w:val="both"/>
              <w:rPr>
                <w:b/>
                <w:bCs/>
                <w:color w:val="000000"/>
                <w:lang w:val="es-ES" w:eastAsia="es-ES"/>
              </w:rPr>
            </w:pPr>
            <w:r w:rsidRPr="00754FDD">
              <w:rPr>
                <w:b/>
                <w:bCs/>
                <w:color w:val="000000"/>
                <w:lang w:val="es-ES" w:eastAsia="es-ES"/>
              </w:rPr>
              <w:t>Error Estándar Robusto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73B" w14:textId="77777777" w:rsidR="00161779" w:rsidRPr="00754FDD" w:rsidRDefault="00161779" w:rsidP="001A51F2">
            <w:pPr>
              <w:jc w:val="both"/>
              <w:rPr>
                <w:b/>
                <w:bCs/>
                <w:color w:val="000000"/>
                <w:lang w:val="es-ES" w:eastAsia="es-ES"/>
              </w:rPr>
            </w:pPr>
            <w:r w:rsidRPr="00754FDD">
              <w:rPr>
                <w:b/>
                <w:bCs/>
                <w:color w:val="000000"/>
                <w:lang w:val="es-ES" w:eastAsia="es-ES"/>
              </w:rPr>
              <w:t>Estadístico t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B33E" w14:textId="77777777" w:rsidR="00161779" w:rsidRPr="00754FDD" w:rsidRDefault="00161779" w:rsidP="001A51F2">
            <w:pPr>
              <w:jc w:val="both"/>
              <w:rPr>
                <w:b/>
                <w:bCs/>
                <w:color w:val="000000"/>
                <w:lang w:val="es-ES" w:eastAsia="es-ES"/>
              </w:rPr>
            </w:pPr>
            <w:r w:rsidRPr="00754FDD">
              <w:rPr>
                <w:b/>
                <w:bCs/>
                <w:color w:val="000000"/>
                <w:lang w:val="es-ES" w:eastAsia="es-ES"/>
              </w:rPr>
              <w:t>P – Valor</w:t>
            </w:r>
          </w:p>
        </w:tc>
      </w:tr>
      <w:tr w:rsidR="00161779" w:rsidRPr="00754FDD" w14:paraId="7C80BAFE" w14:textId="77777777" w:rsidTr="001A51F2">
        <w:trPr>
          <w:trHeight w:val="198"/>
          <w:jc w:val="center"/>
        </w:trPr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5AC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lnPprod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6BD3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0,3754863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B2A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0,0099453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281C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37,76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78973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0,000</w:t>
            </w:r>
          </w:p>
        </w:tc>
      </w:tr>
      <w:tr w:rsidR="00161779" w:rsidRPr="00754FDD" w14:paraId="213650B3" w14:textId="77777777" w:rsidTr="001A51F2">
        <w:trPr>
          <w:trHeight w:val="198"/>
          <w:jc w:val="center"/>
        </w:trPr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A7A5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Constante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B12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5,940.606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B32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0,0692691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5D9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85,76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A80A7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0,000</w:t>
            </w:r>
          </w:p>
        </w:tc>
      </w:tr>
      <w:tr w:rsidR="00161779" w:rsidRPr="00754FDD" w14:paraId="79A5A018" w14:textId="77777777" w:rsidTr="001A51F2">
        <w:trPr>
          <w:trHeight w:val="198"/>
          <w:jc w:val="center"/>
        </w:trPr>
        <w:tc>
          <w:tcPr>
            <w:tcW w:w="796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2A830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R</w:t>
            </w:r>
            <w:r w:rsidRPr="00754FDD">
              <w:rPr>
                <w:color w:val="000000"/>
                <w:vertAlign w:val="superscript"/>
                <w:lang w:val="es-ES" w:eastAsia="es-ES"/>
              </w:rPr>
              <w:t>2</w:t>
            </w:r>
            <w:r w:rsidRPr="00754FDD">
              <w:rPr>
                <w:color w:val="000000"/>
                <w:lang w:val="es-ES" w:eastAsia="es-ES"/>
              </w:rPr>
              <w:t>: 0,9827 </w:t>
            </w:r>
          </w:p>
          <w:p w14:paraId="35BB0604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R</w:t>
            </w:r>
            <w:r w:rsidRPr="00754FDD">
              <w:rPr>
                <w:color w:val="000000"/>
                <w:vertAlign w:val="superscript"/>
                <w:lang w:val="es-ES" w:eastAsia="es-ES"/>
              </w:rPr>
              <w:t>2</w:t>
            </w:r>
            <w:r w:rsidRPr="00754FDD">
              <w:rPr>
                <w:color w:val="000000"/>
                <w:lang w:val="es-ES" w:eastAsia="es-ES"/>
              </w:rPr>
              <w:t>-ajustado: 0,9825</w:t>
            </w:r>
          </w:p>
          <w:p w14:paraId="62E2935B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Estadístico F: 1425,46</w:t>
            </w:r>
          </w:p>
          <w:p w14:paraId="293BE3F9" w14:textId="77777777" w:rsidR="00161779" w:rsidRPr="00754FDD" w:rsidRDefault="00161779" w:rsidP="001A51F2">
            <w:pPr>
              <w:jc w:val="both"/>
              <w:rPr>
                <w:color w:val="000000"/>
                <w:lang w:val="es-ES" w:eastAsia="es-ES"/>
              </w:rPr>
            </w:pPr>
            <w:r w:rsidRPr="00754FDD">
              <w:rPr>
                <w:color w:val="000000"/>
                <w:lang w:val="es-ES" w:eastAsia="es-ES"/>
              </w:rPr>
              <w:t>Prob. (Estadístico F): 0,0000</w:t>
            </w:r>
          </w:p>
        </w:tc>
      </w:tr>
    </w:tbl>
    <w:p w14:paraId="61FBB459" w14:textId="77777777" w:rsidR="00161779" w:rsidRPr="00754FDD" w:rsidRDefault="00161779" w:rsidP="00161779">
      <w:pPr>
        <w:pStyle w:val="Prrafodelista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FDD">
        <w:rPr>
          <w:rFonts w:ascii="Times New Roman" w:hAnsi="Times New Roman" w:cs="Times New Roman"/>
          <w:b/>
          <w:bCs/>
          <w:sz w:val="24"/>
          <w:szCs w:val="24"/>
        </w:rPr>
        <w:t xml:space="preserve">Fuente: </w:t>
      </w:r>
      <w:r w:rsidRPr="00754FDD">
        <w:rPr>
          <w:rFonts w:ascii="Times New Roman" w:hAnsi="Times New Roman" w:cs="Times New Roman"/>
          <w:sz w:val="24"/>
          <w:szCs w:val="24"/>
        </w:rPr>
        <w:t>Elaboración propia en base a la estimación de Stata</w:t>
      </w:r>
    </w:p>
    <w:p w14:paraId="0B37BAC8" w14:textId="0AC16404" w:rsidR="00161779" w:rsidRDefault="00161779">
      <w:pPr>
        <w:rPr>
          <w:lang w:val="es-EC"/>
        </w:rPr>
      </w:pPr>
    </w:p>
    <w:p w14:paraId="3826AC8B" w14:textId="3EB62816" w:rsidR="00161779" w:rsidRDefault="00161779">
      <w:pPr>
        <w:rPr>
          <w:lang w:val="es-EC"/>
        </w:rPr>
      </w:pPr>
    </w:p>
    <w:p w14:paraId="6D2CBACB" w14:textId="6806DFAD" w:rsidR="00161779" w:rsidRDefault="00161779">
      <w:pPr>
        <w:rPr>
          <w:lang w:val="es-EC"/>
        </w:rPr>
      </w:pPr>
    </w:p>
    <w:p w14:paraId="5CFF1BB5" w14:textId="77777777" w:rsidR="00161779" w:rsidRPr="00754FDD" w:rsidRDefault="00161779" w:rsidP="00161779">
      <w:pPr>
        <w:spacing w:line="360" w:lineRule="auto"/>
        <w:ind w:left="708" w:firstLine="284"/>
        <w:jc w:val="both"/>
        <w:rPr>
          <w:b/>
        </w:rPr>
      </w:pPr>
      <w:r w:rsidRPr="00754FDD">
        <w:rPr>
          <w:b/>
        </w:rPr>
        <w:t xml:space="preserve">Gráfico 1. </w:t>
      </w:r>
      <w:r w:rsidRPr="00754FDD">
        <w:t>Daños y pérdidas productivas.</w:t>
      </w:r>
    </w:p>
    <w:p w14:paraId="41D6E152" w14:textId="77777777" w:rsidR="00161779" w:rsidRPr="00754FDD" w:rsidRDefault="00161779" w:rsidP="00161779">
      <w:pPr>
        <w:spacing w:line="360" w:lineRule="auto"/>
        <w:ind w:firstLine="284"/>
        <w:jc w:val="center"/>
        <w:rPr>
          <w:b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54FDD">
        <w:rPr>
          <w:noProof/>
        </w:rPr>
        <w:drawing>
          <wp:inline distT="0" distB="0" distL="0" distR="0" wp14:anchorId="61BCC422" wp14:editId="21BD498F">
            <wp:extent cx="4572000" cy="2743200"/>
            <wp:effectExtent l="0" t="0" r="1270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7D480F7-A387-F443-BE24-F8BC80FDD2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B8ED636" w14:textId="77777777" w:rsidR="00161779" w:rsidRPr="00754FDD" w:rsidRDefault="00161779" w:rsidP="00161779">
      <w:pPr>
        <w:spacing w:line="360" w:lineRule="auto"/>
        <w:ind w:left="708" w:firstLine="708"/>
      </w:pPr>
      <w:r w:rsidRPr="00754FDD">
        <w:rPr>
          <w:b/>
        </w:rPr>
        <w:t xml:space="preserve">Fuente: </w:t>
      </w:r>
      <w:r>
        <w:t>101 hogares afectados de la parroquia rural La Unión</w:t>
      </w:r>
    </w:p>
    <w:p w14:paraId="6ABFD945" w14:textId="1FCC2257" w:rsidR="00161779" w:rsidRDefault="00161779"/>
    <w:p w14:paraId="754E29BC" w14:textId="52A41219" w:rsidR="00161779" w:rsidRDefault="00161779"/>
    <w:p w14:paraId="7EBFCA0C" w14:textId="77777777" w:rsidR="00161779" w:rsidRPr="00754FDD" w:rsidRDefault="00161779" w:rsidP="00161779">
      <w:pPr>
        <w:spacing w:line="360" w:lineRule="auto"/>
        <w:ind w:left="708" w:firstLine="708"/>
        <w:jc w:val="both"/>
      </w:pPr>
      <w:r w:rsidRPr="00754FDD">
        <w:rPr>
          <w:b/>
        </w:rPr>
        <w:t xml:space="preserve">Gráfico 2. </w:t>
      </w:r>
      <w:r w:rsidRPr="00754FDD">
        <w:t>Afectaciones al hogar</w:t>
      </w:r>
    </w:p>
    <w:p w14:paraId="1EB73622" w14:textId="77777777" w:rsidR="00161779" w:rsidRPr="00754FDD" w:rsidRDefault="00161779" w:rsidP="00161779">
      <w:pPr>
        <w:spacing w:line="360" w:lineRule="auto"/>
        <w:ind w:firstLine="284"/>
        <w:jc w:val="center"/>
        <w:rPr>
          <w:b/>
          <w:noProof/>
        </w:rPr>
      </w:pPr>
      <w:r w:rsidRPr="00754FDD">
        <w:rPr>
          <w:noProof/>
        </w:rPr>
        <w:drawing>
          <wp:inline distT="0" distB="0" distL="0" distR="0" wp14:anchorId="404032E5" wp14:editId="79ED490A">
            <wp:extent cx="457200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468A1B9-426E-374C-B323-D398BB317B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A46EEB" w14:textId="77777777" w:rsidR="00161779" w:rsidRPr="00754FDD" w:rsidRDefault="00161779" w:rsidP="00161779">
      <w:pPr>
        <w:spacing w:line="360" w:lineRule="auto"/>
        <w:ind w:left="708" w:firstLine="708"/>
      </w:pPr>
      <w:r w:rsidRPr="00754FDD">
        <w:rPr>
          <w:b/>
        </w:rPr>
        <w:t xml:space="preserve">Fuente: </w:t>
      </w:r>
      <w:r>
        <w:t>101 hogares afectados de la parroquia rural La Unión</w:t>
      </w:r>
    </w:p>
    <w:p w14:paraId="7B572C35" w14:textId="77777777" w:rsidR="00161779" w:rsidRPr="00161779" w:rsidRDefault="00161779"/>
    <w:sectPr w:rsidR="00161779" w:rsidRPr="00161779" w:rsidSect="00161779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79"/>
    <w:rsid w:val="00161779"/>
    <w:rsid w:val="006F2642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5080"/>
  <w15:chartTrackingRefBased/>
  <w15:docId w15:val="{6D6A568C-CA02-4F9B-AB90-422ADFA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1clara-nfasis31">
    <w:name w:val="Tabla de lista 1 clara - Énfasis 31"/>
    <w:basedOn w:val="Tablanormal"/>
    <w:uiPriority w:val="46"/>
    <w:rsid w:val="00161779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16177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EC" w:eastAsia="en-US"/>
    </w:rPr>
  </w:style>
  <w:style w:type="table" w:styleId="Sombreadoclaro-nfasis1">
    <w:name w:val="Light Shading Accent 1"/>
    <w:basedOn w:val="Tablanormal"/>
    <w:uiPriority w:val="60"/>
    <w:rsid w:val="00161779"/>
    <w:pPr>
      <w:spacing w:after="0" w:line="240" w:lineRule="auto"/>
    </w:pPr>
    <w:rPr>
      <w:color w:val="2F5496" w:themeColor="accent1" w:themeShade="BF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rrafodelista">
    <w:name w:val="List Paragraph"/>
    <w:aliases w:val="Capítulo"/>
    <w:basedOn w:val="Normal"/>
    <w:link w:val="PrrafodelistaCar"/>
    <w:uiPriority w:val="34"/>
    <w:qFormat/>
    <w:rsid w:val="00161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rrafodelistaCar">
    <w:name w:val="Párrafo de lista Car"/>
    <w:aliases w:val="Capítulo Car"/>
    <w:link w:val="Prrafodelista"/>
    <w:uiPriority w:val="34"/>
    <w:locked/>
    <w:rsid w:val="0016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ES_tradnl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DAÑOS Y PÉRDIDAS PRODUCTIVAS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Hoja1!$A$3:$D$3</c:f>
              <c:strCache>
                <c:ptCount val="4"/>
                <c:pt idx="0">
                  <c:v>PÉRDIDAS LABORALES</c:v>
                </c:pt>
                <c:pt idx="1">
                  <c:v>PÉRDIDAS DE LOCALES E INSTALACIONES PRODUCTIVAS</c:v>
                </c:pt>
                <c:pt idx="2">
                  <c:v>PÉRDIDA DE ANIMALES</c:v>
                </c:pt>
                <c:pt idx="3">
                  <c:v>PÉRDIDA DE CULTIVOS</c:v>
                </c:pt>
              </c:strCache>
            </c:strRef>
          </c:cat>
          <c:val>
            <c:numRef>
              <c:f>Hoja1!$A$4:$D$4</c:f>
              <c:numCache>
                <c:formatCode>General</c:formatCode>
                <c:ptCount val="4"/>
                <c:pt idx="0">
                  <c:v>23053</c:v>
                </c:pt>
                <c:pt idx="1">
                  <c:v>37711</c:v>
                </c:pt>
                <c:pt idx="2">
                  <c:v>18983</c:v>
                </c:pt>
                <c:pt idx="3">
                  <c:v>133734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52-40C9-8F53-D110CF6A64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464188112"/>
        <c:axId val="1464448016"/>
      </c:barChart>
      <c:catAx>
        <c:axId val="146418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1464448016"/>
        <c:crosses val="autoZero"/>
        <c:auto val="1"/>
        <c:lblAlgn val="ctr"/>
        <c:lblOffset val="100"/>
        <c:noMultiLvlLbl val="0"/>
      </c:catAx>
      <c:valAx>
        <c:axId val="1464448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146418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softEdge rad="406400"/>
    </a:effectLst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ES_tradnl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AFECTACIONES AL HOGAR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9.1899970836978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A5-4F2C-8AA6-0DCFF9CA32CD}"/>
                </c:ext>
              </c:extLst>
            </c:dLbl>
            <c:dLbl>
              <c:idx val="1"/>
              <c:layout>
                <c:manualLayout>
                  <c:x val="2.7777777777777779E-3"/>
                  <c:y val="-6.926217556138815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A5-4F2C-8AA6-0DCFF9CA32CD}"/>
                </c:ext>
              </c:extLst>
            </c:dLbl>
            <c:dLbl>
              <c:idx val="2"/>
              <c:layout>
                <c:manualLayout>
                  <c:x val="-5.0925337632079971E-17"/>
                  <c:y val="-6.926217556138815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A5-4F2C-8AA6-0DCFF9CA32CD}"/>
                </c:ext>
              </c:extLst>
            </c:dLbl>
            <c:dLbl>
              <c:idx val="3"/>
              <c:layout>
                <c:manualLayout>
                  <c:x val="0"/>
                  <c:y val="9.18999708369795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A5-4F2C-8AA6-0DCFF9CA32CD}"/>
                </c:ext>
              </c:extLst>
            </c:dLbl>
            <c:dLbl>
              <c:idx val="4"/>
              <c:layout>
                <c:manualLayout>
                  <c:x val="-1.0185067526415994E-16"/>
                  <c:y val="-3.9632545931759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A5-4F2C-8AA6-0DCFF9CA3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Hoja2!$A$2:$F$3</c:f>
              <c:strCache>
                <c:ptCount val="6"/>
                <c:pt idx="0">
                  <c:v>VIVIENDA</c:v>
                </c:pt>
                <c:pt idx="1">
                  <c:v>BIENES, MUEBLES &amp;ENSERES</c:v>
                </c:pt>
                <c:pt idx="2">
                  <c:v>EQUIPOS Y ARTEFACTOS</c:v>
                </c:pt>
                <c:pt idx="3">
                  <c:v>VESTIMENTA</c:v>
                </c:pt>
                <c:pt idx="4">
                  <c:v>BIENES PERECIBLES</c:v>
                </c:pt>
                <c:pt idx="5">
                  <c:v>OTROS</c:v>
                </c:pt>
              </c:strCache>
              <c:extLst/>
            </c:strRef>
          </c:cat>
          <c:val>
            <c:numRef>
              <c:f>Hoja2!$A$4:$F$4</c:f>
              <c:numCache>
                <c:formatCode>General</c:formatCode>
                <c:ptCount val="6"/>
                <c:pt idx="0">
                  <c:v>12275</c:v>
                </c:pt>
                <c:pt idx="1">
                  <c:v>11114</c:v>
                </c:pt>
                <c:pt idx="2">
                  <c:v>27315</c:v>
                </c:pt>
                <c:pt idx="3">
                  <c:v>5330</c:v>
                </c:pt>
                <c:pt idx="4">
                  <c:v>3370</c:v>
                </c:pt>
                <c:pt idx="5">
                  <c:v>1080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A5-4F2C-8AA6-0DCFF9CA32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466040784"/>
        <c:axId val="1466336016"/>
      </c:barChart>
      <c:catAx>
        <c:axId val="14660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1466336016"/>
        <c:crosses val="autoZero"/>
        <c:auto val="1"/>
        <c:lblAlgn val="ctr"/>
        <c:lblOffset val="100"/>
        <c:noMultiLvlLbl val="0"/>
      </c:catAx>
      <c:valAx>
        <c:axId val="1466336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146604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Gasendy Arteaga</dc:creator>
  <cp:keywords/>
  <dc:description/>
  <cp:lastModifiedBy>Ing Gasendy Arteaga</cp:lastModifiedBy>
  <cp:revision>2</cp:revision>
  <dcterms:created xsi:type="dcterms:W3CDTF">2020-09-21T00:00:00Z</dcterms:created>
  <dcterms:modified xsi:type="dcterms:W3CDTF">2020-09-21T00:48:00Z</dcterms:modified>
</cp:coreProperties>
</file>