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53E" w:rsidRDefault="00D8653E" w:rsidP="00D8653E">
      <w:bookmarkStart w:id="0" w:name="_GoBack"/>
      <w:bookmarkEnd w:id="0"/>
    </w:p>
    <w:p w:rsidR="00D8653E" w:rsidRDefault="00D8653E" w:rsidP="00D8653E">
      <w:pPr>
        <w:pStyle w:val="HTMLconformatoprevio"/>
        <w:shd w:val="clear" w:color="auto" w:fill="FFFFFF"/>
        <w:spacing w:line="480" w:lineRule="auto"/>
        <w:outlineLvl w:val="0"/>
        <w:rPr>
          <w:rFonts w:ascii="Times New Roman" w:hAnsi="Times New Roman" w:cs="Times New Roman"/>
          <w:b/>
          <w:color w:val="212121"/>
          <w:sz w:val="24"/>
          <w:szCs w:val="24"/>
          <w:lang w:val="es-ES"/>
        </w:rPr>
      </w:pPr>
      <w:r>
        <w:tab/>
      </w:r>
      <w:r>
        <w:rPr>
          <w:rFonts w:ascii="Times New Roman" w:hAnsi="Times New Roman" w:cs="Times New Roman"/>
          <w:b/>
          <w:color w:val="212121"/>
          <w:sz w:val="24"/>
          <w:szCs w:val="24"/>
          <w:lang w:val="es-ES"/>
        </w:rPr>
        <w:t>ANEXOS</w:t>
      </w:r>
    </w:p>
    <w:p w:rsidR="00D8653E" w:rsidRDefault="00D8653E" w:rsidP="00D8653E">
      <w:pPr>
        <w:pStyle w:val="Subttulo"/>
        <w:rPr>
          <w:rFonts w:ascii="Times New Roman" w:hAnsi="Times New Roman" w:cs="Times New Roman"/>
          <w:b/>
          <w:sz w:val="24"/>
          <w:lang w:val="es-EC"/>
        </w:rPr>
      </w:pPr>
      <w:r>
        <w:rPr>
          <w:rFonts w:ascii="Times New Roman" w:hAnsi="Times New Roman" w:cs="Times New Roman"/>
          <w:b/>
          <w:sz w:val="24"/>
          <w:lang w:val="es-EC"/>
        </w:rPr>
        <w:t>Tabla No. 1</w:t>
      </w:r>
    </w:p>
    <w:p w:rsidR="00D8653E" w:rsidRDefault="00D8653E" w:rsidP="00D8653E">
      <w:pPr>
        <w:pStyle w:val="HTMLconformatoprevio"/>
        <w:shd w:val="clear" w:color="auto" w:fill="FFFFFF"/>
        <w:spacing w:line="480" w:lineRule="auto"/>
        <w:outlineLvl w:val="1"/>
        <w:rPr>
          <w:rFonts w:ascii="Times New Roman" w:hAnsi="Times New Roman" w:cs="Times New Roman"/>
          <w:b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sz w:val="24"/>
          <w:szCs w:val="24"/>
          <w:lang w:val="es-EC"/>
        </w:rPr>
        <w:t>Datos de exposición</w:t>
      </w:r>
    </w:p>
    <w:tbl>
      <w:tblPr>
        <w:tblStyle w:val="Tabladecuadrcula4-nfasis2"/>
        <w:tblW w:w="0" w:type="auto"/>
        <w:tblInd w:w="0" w:type="dxa"/>
        <w:tblLook w:val="04A0" w:firstRow="1" w:lastRow="0" w:firstColumn="1" w:lastColumn="0" w:noHBand="0" w:noVBand="1"/>
      </w:tblPr>
      <w:tblGrid>
        <w:gridCol w:w="4967"/>
        <w:gridCol w:w="3541"/>
      </w:tblGrid>
      <w:tr w:rsidR="00D8653E" w:rsidTr="00D865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hideMark/>
          </w:tcPr>
          <w:p w:rsidR="00D8653E" w:rsidRDefault="00D8653E">
            <w:pPr>
              <w:spacing w:line="360" w:lineRule="auto"/>
              <w:jc w:val="center"/>
              <w:rPr>
                <w:b w:val="0"/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Descripción de exposición</w:t>
            </w:r>
          </w:p>
        </w:tc>
        <w:tc>
          <w:tcPr>
            <w:tcW w:w="3541" w:type="dxa"/>
            <w:hideMark/>
          </w:tcPr>
          <w:p w:rsidR="00D8653E" w:rsidRDefault="00D86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Resultados</w:t>
            </w:r>
          </w:p>
        </w:tc>
      </w:tr>
      <w:tr w:rsidR="00D8653E" w:rsidTr="00D86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Años de exposición</w:t>
            </w:r>
          </w:p>
        </w:tc>
        <w:tc>
          <w:tcPr>
            <w:tcW w:w="3541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Media  (17,98)</w:t>
            </w:r>
          </w:p>
        </w:tc>
      </w:tr>
      <w:tr w:rsidR="00D8653E" w:rsidTr="00D8653E">
        <w:trPr>
          <w:trHeight w:val="2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</w:p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Frecuencia de exposición</w:t>
            </w:r>
          </w:p>
        </w:tc>
        <w:tc>
          <w:tcPr>
            <w:tcW w:w="3541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Cada 15 días  (36,5%)</w:t>
            </w:r>
          </w:p>
          <w:p w:rsidR="00D8653E" w:rsidRDefault="00D86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Cada 30 días  (32,6%)</w:t>
            </w:r>
          </w:p>
          <w:p w:rsidR="00D8653E" w:rsidRDefault="00D86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Cada semana  (30,7%)</w:t>
            </w:r>
          </w:p>
        </w:tc>
      </w:tr>
      <w:tr w:rsidR="00D8653E" w:rsidTr="00D86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Horas de exposición</w:t>
            </w:r>
          </w:p>
        </w:tc>
        <w:tc>
          <w:tcPr>
            <w:tcW w:w="3541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Media (2,96)</w:t>
            </w:r>
          </w:p>
        </w:tc>
      </w:tr>
      <w:tr w:rsidR="00D8653E" w:rsidTr="00D8653E">
        <w:trPr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Recibió capacitación</w:t>
            </w:r>
          </w:p>
        </w:tc>
        <w:tc>
          <w:tcPr>
            <w:tcW w:w="3541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Si (7,7%)     No  (92,3%)</w:t>
            </w:r>
          </w:p>
        </w:tc>
      </w:tr>
      <w:tr w:rsidR="00D8653E" w:rsidTr="00D86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Leen la etiqueta antes de usar</w:t>
            </w:r>
          </w:p>
        </w:tc>
        <w:tc>
          <w:tcPr>
            <w:tcW w:w="3541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 xml:space="preserve">        Si (27%)      No (73%)</w:t>
            </w:r>
          </w:p>
        </w:tc>
      </w:tr>
      <w:tr w:rsidR="00D8653E" w:rsidTr="00D8653E">
        <w:trPr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Tiene conocimiento del plaguicida</w:t>
            </w:r>
          </w:p>
        </w:tc>
        <w:tc>
          <w:tcPr>
            <w:tcW w:w="3541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Si (9,6%)      No (90,4%)</w:t>
            </w:r>
          </w:p>
        </w:tc>
      </w:tr>
      <w:tr w:rsidR="00D8653E" w:rsidTr="00D86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Usan plaguicida de etiqueta roja</w:t>
            </w:r>
          </w:p>
        </w:tc>
        <w:tc>
          <w:tcPr>
            <w:tcW w:w="3541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Si (21,1%)     No (78,9%)</w:t>
            </w:r>
          </w:p>
        </w:tc>
      </w:tr>
      <w:tr w:rsidR="00D8653E" w:rsidTr="00D8653E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Mezclas de plaguicidas</w:t>
            </w:r>
          </w:p>
        </w:tc>
        <w:tc>
          <w:tcPr>
            <w:tcW w:w="3541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Si (82,7)        No (17,3%)</w:t>
            </w:r>
          </w:p>
        </w:tc>
      </w:tr>
      <w:tr w:rsidR="00D8653E" w:rsidTr="00D86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Uso de EPP</w:t>
            </w:r>
          </w:p>
        </w:tc>
        <w:tc>
          <w:tcPr>
            <w:tcW w:w="3541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 xml:space="preserve">        Si (34,7)       No (65,3%)</w:t>
            </w:r>
          </w:p>
        </w:tc>
      </w:tr>
      <w:tr w:rsidR="00D8653E" w:rsidTr="00D8653E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Come durante la preparación y/o fumigación</w:t>
            </w:r>
          </w:p>
        </w:tc>
        <w:tc>
          <w:tcPr>
            <w:tcW w:w="3541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Si (65,3%)    No (34,7%)</w:t>
            </w:r>
          </w:p>
        </w:tc>
      </w:tr>
      <w:tr w:rsidR="00D8653E" w:rsidTr="00D86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Cambio de ropa al finalizar jornada</w:t>
            </w:r>
          </w:p>
        </w:tc>
        <w:tc>
          <w:tcPr>
            <w:tcW w:w="3541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 xml:space="preserve">        Si (27%)       No (73%)</w:t>
            </w:r>
          </w:p>
        </w:tc>
      </w:tr>
      <w:tr w:rsidR="00D8653E" w:rsidTr="00D8653E">
        <w:trPr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Baño al finalizar la jornada</w:t>
            </w:r>
          </w:p>
        </w:tc>
        <w:tc>
          <w:tcPr>
            <w:tcW w:w="3541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Si (36,5%)    No (63,5%)</w:t>
            </w:r>
          </w:p>
        </w:tc>
      </w:tr>
    </w:tbl>
    <w:p w:rsidR="00D8653E" w:rsidRDefault="00D8653E" w:rsidP="00D8653E">
      <w:pPr>
        <w:spacing w:line="480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:rsidR="00D8653E" w:rsidRDefault="00D8653E" w:rsidP="00D8653E">
      <w:pPr>
        <w:spacing w:line="480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:rsidR="00D8653E" w:rsidRDefault="00D8653E" w:rsidP="00D8653E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sz w:val="24"/>
          <w:szCs w:val="24"/>
          <w:lang w:val="es-EC"/>
        </w:rPr>
        <w:lastRenderedPageBreak/>
        <w:t>Alteraciones tiroideas</w:t>
      </w:r>
    </w:p>
    <w:p w:rsidR="00D8653E" w:rsidRDefault="00D8653E" w:rsidP="00D8653E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EC"/>
        </w:rPr>
      </w:pPr>
      <w:r>
        <w:rPr>
          <w:rFonts w:ascii="Times New Roman" w:hAnsi="Times New Roman" w:cs="Times New Roman"/>
          <w:b/>
          <w:sz w:val="24"/>
          <w:szCs w:val="24"/>
          <w:lang w:val="es-EC"/>
        </w:rPr>
        <w:t>Tabla No.2</w:t>
      </w:r>
    </w:p>
    <w:tbl>
      <w:tblPr>
        <w:tblStyle w:val="Tabladecuadrcula4-nfasis2"/>
        <w:tblW w:w="0" w:type="auto"/>
        <w:tblInd w:w="0" w:type="dxa"/>
        <w:tblLook w:val="04A0" w:firstRow="1" w:lastRow="0" w:firstColumn="1" w:lastColumn="0" w:noHBand="0" w:noVBand="1"/>
      </w:tblPr>
      <w:tblGrid>
        <w:gridCol w:w="2606"/>
        <w:gridCol w:w="2606"/>
        <w:gridCol w:w="2607"/>
      </w:tblGrid>
      <w:tr w:rsidR="00D8653E" w:rsidTr="00D865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hideMark/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Alteración tiroidea</w:t>
            </w:r>
          </w:p>
        </w:tc>
        <w:tc>
          <w:tcPr>
            <w:tcW w:w="2606" w:type="dxa"/>
            <w:hideMark/>
          </w:tcPr>
          <w:p w:rsidR="00D8653E" w:rsidRDefault="00D86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Expuestos</w:t>
            </w:r>
          </w:p>
        </w:tc>
        <w:tc>
          <w:tcPr>
            <w:tcW w:w="2607" w:type="dxa"/>
            <w:hideMark/>
          </w:tcPr>
          <w:p w:rsidR="00D8653E" w:rsidRDefault="00D8653E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>No expuestos</w:t>
            </w:r>
          </w:p>
        </w:tc>
      </w:tr>
      <w:tr w:rsidR="00D8653E" w:rsidTr="00D86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 xml:space="preserve">Media de TSH </w:t>
            </w:r>
          </w:p>
        </w:tc>
        <w:tc>
          <w:tcPr>
            <w:tcW w:w="2606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 xml:space="preserve">          3,99  (62casos)</w:t>
            </w:r>
          </w:p>
        </w:tc>
        <w:tc>
          <w:tcPr>
            <w:tcW w:w="260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szCs w:val="24"/>
                <w:lang w:val="es-EC"/>
              </w:rPr>
              <w:t xml:space="preserve">           3,13  (19casos)</w:t>
            </w:r>
          </w:p>
        </w:tc>
      </w:tr>
      <w:tr w:rsidR="00D8653E" w:rsidTr="00D8653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lang w:val="es-EC"/>
              </w:rPr>
              <w:t>Nódulos tiroideos</w:t>
            </w:r>
          </w:p>
        </w:tc>
        <w:tc>
          <w:tcPr>
            <w:tcW w:w="2606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lang w:val="es-EC"/>
              </w:rPr>
              <w:t>16   (30,7%)</w:t>
            </w:r>
          </w:p>
        </w:tc>
        <w:tc>
          <w:tcPr>
            <w:tcW w:w="260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lang w:val="es-EC"/>
              </w:rPr>
              <w:t>3   (15,8%)</w:t>
            </w:r>
          </w:p>
        </w:tc>
      </w:tr>
      <w:tr w:rsidR="00D8653E" w:rsidTr="00D86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lang w:val="es-EC"/>
              </w:rPr>
              <w:t>Hipotiroidismo</w:t>
            </w:r>
          </w:p>
        </w:tc>
        <w:tc>
          <w:tcPr>
            <w:tcW w:w="2606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lang w:val="es-EC"/>
              </w:rPr>
              <w:t xml:space="preserve">          47    (7,7%)</w:t>
            </w:r>
          </w:p>
        </w:tc>
        <w:tc>
          <w:tcPr>
            <w:tcW w:w="260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lang w:val="es-EC"/>
              </w:rPr>
              <w:t>2   (10,5%)</w:t>
            </w:r>
          </w:p>
        </w:tc>
      </w:tr>
      <w:tr w:rsidR="00D8653E" w:rsidTr="00D8653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4"/>
                <w:lang w:val="es-EC"/>
              </w:rPr>
            </w:pPr>
            <w:r>
              <w:rPr>
                <w:sz w:val="24"/>
                <w:lang w:val="es-EC"/>
              </w:rPr>
              <w:t>Bocio multinodular</w:t>
            </w:r>
          </w:p>
        </w:tc>
        <w:tc>
          <w:tcPr>
            <w:tcW w:w="2606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lang w:val="es-EC"/>
              </w:rPr>
              <w:t>2      (3,9%)</w:t>
            </w:r>
          </w:p>
        </w:tc>
        <w:tc>
          <w:tcPr>
            <w:tcW w:w="260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EC"/>
              </w:rPr>
            </w:pPr>
            <w:r>
              <w:rPr>
                <w:sz w:val="24"/>
                <w:lang w:val="es-EC"/>
              </w:rPr>
              <w:t xml:space="preserve">           0    (0%)</w:t>
            </w:r>
          </w:p>
        </w:tc>
      </w:tr>
      <w:tr w:rsidR="00D8653E" w:rsidTr="00D865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rPr>
                <w:sz w:val="24"/>
                <w:szCs w:val="22"/>
                <w:lang w:val="es-EC"/>
              </w:rPr>
            </w:pPr>
            <w:r>
              <w:rPr>
                <w:sz w:val="24"/>
                <w:lang w:val="es-EC"/>
              </w:rPr>
              <w:t>Sin patología</w:t>
            </w:r>
          </w:p>
        </w:tc>
        <w:tc>
          <w:tcPr>
            <w:tcW w:w="2606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s-EC"/>
              </w:rPr>
            </w:pPr>
            <w:r>
              <w:rPr>
                <w:sz w:val="24"/>
                <w:lang w:val="es-EC"/>
              </w:rPr>
              <w:t>30    (57,7%)</w:t>
            </w:r>
          </w:p>
        </w:tc>
        <w:tc>
          <w:tcPr>
            <w:tcW w:w="2607" w:type="dxa"/>
            <w:tcBorders>
              <w:top w:val="single" w:sz="4" w:space="0" w:color="F4B083" w:themeColor="accent2" w:themeTint="99"/>
              <w:left w:val="single" w:sz="4" w:space="0" w:color="F4B083" w:themeColor="accent2" w:themeTint="99"/>
              <w:bottom w:val="single" w:sz="4" w:space="0" w:color="F4B083" w:themeColor="accent2" w:themeTint="99"/>
              <w:right w:val="single" w:sz="4" w:space="0" w:color="F4B083" w:themeColor="accent2" w:themeTint="99"/>
            </w:tcBorders>
            <w:hideMark/>
          </w:tcPr>
          <w:p w:rsidR="00D8653E" w:rsidRDefault="00D8653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es-EC"/>
              </w:rPr>
            </w:pPr>
            <w:r>
              <w:rPr>
                <w:sz w:val="24"/>
                <w:lang w:val="es-EC"/>
              </w:rPr>
              <w:t>14   (73,7%)</w:t>
            </w:r>
          </w:p>
        </w:tc>
      </w:tr>
    </w:tbl>
    <w:p w:rsidR="00D8653E" w:rsidRDefault="00D8653E" w:rsidP="00D8653E">
      <w:pPr>
        <w:pStyle w:val="Ttulo2"/>
        <w:spacing w:line="480" w:lineRule="auto"/>
        <w:rPr>
          <w:rFonts w:ascii="Times New Roman" w:hAnsi="Times New Roman" w:cs="Times New Roman"/>
          <w:b/>
          <w:color w:val="auto"/>
          <w:sz w:val="20"/>
          <w:lang w:val="es-EC"/>
        </w:rPr>
      </w:pPr>
    </w:p>
    <w:p w:rsidR="00D8653E" w:rsidRDefault="00D8653E" w:rsidP="00D8653E">
      <w:pPr>
        <w:pStyle w:val="Ttulo2"/>
        <w:spacing w:line="480" w:lineRule="auto"/>
        <w:rPr>
          <w:rFonts w:ascii="Times New Roman" w:hAnsi="Times New Roman" w:cs="Times New Roman"/>
          <w:b/>
          <w:color w:val="auto"/>
          <w:sz w:val="20"/>
          <w:lang w:val="es-EC"/>
        </w:rPr>
      </w:pPr>
    </w:p>
    <w:p w:rsidR="00D8653E" w:rsidRDefault="00D8653E" w:rsidP="00D8653E">
      <w:pPr>
        <w:spacing w:line="480" w:lineRule="auto"/>
        <w:rPr>
          <w:rFonts w:ascii="Times New Roman" w:hAnsi="Times New Roman" w:cs="Times New Roman"/>
          <w:sz w:val="24"/>
          <w:szCs w:val="24"/>
          <w:lang w:val="es-EC"/>
        </w:rPr>
      </w:pPr>
    </w:p>
    <w:p w:rsidR="00D8653E" w:rsidRDefault="00D8653E" w:rsidP="00D8653E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s-EC"/>
        </w:rPr>
      </w:pPr>
    </w:p>
    <w:p w:rsidR="00072C9E" w:rsidRPr="00D8653E" w:rsidRDefault="00072C9E" w:rsidP="00D8653E">
      <w:pPr>
        <w:tabs>
          <w:tab w:val="left" w:pos="1850"/>
        </w:tabs>
      </w:pPr>
    </w:p>
    <w:sectPr w:rsidR="00072C9E" w:rsidRPr="00D865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53E"/>
    <w:rsid w:val="00072C9E"/>
    <w:rsid w:val="00D8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2A1C9A-D346-4B7E-AD65-CF06CDDC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53E"/>
    <w:pPr>
      <w:spacing w:after="200" w:line="276" w:lineRule="auto"/>
    </w:pPr>
    <w:rPr>
      <w:lang w:val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D865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semiHidden/>
    <w:rsid w:val="00D8653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865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8653E"/>
    <w:rPr>
      <w:rFonts w:ascii="Courier New" w:eastAsia="Times New Roman" w:hAnsi="Courier New" w:cs="Courier New"/>
      <w:sz w:val="20"/>
      <w:szCs w:val="20"/>
      <w:lang w:val="en-US"/>
    </w:rPr>
  </w:style>
  <w:style w:type="paragraph" w:styleId="Subttulo">
    <w:name w:val="Subtitle"/>
    <w:basedOn w:val="Normal"/>
    <w:next w:val="Normal"/>
    <w:link w:val="SubttuloCar"/>
    <w:qFormat/>
    <w:rsid w:val="00D8653E"/>
    <w:p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rsid w:val="00D8653E"/>
    <w:rPr>
      <w:rFonts w:eastAsiaTheme="minorEastAsia"/>
      <w:color w:val="5A5A5A" w:themeColor="text1" w:themeTint="A5"/>
      <w:spacing w:val="15"/>
      <w:lang w:val="en-US"/>
    </w:rPr>
  </w:style>
  <w:style w:type="table" w:styleId="Tabladecuadrcula4-nfasis2">
    <w:name w:val="Grid Table 4 Accent 2"/>
    <w:basedOn w:val="Tablanormal"/>
    <w:uiPriority w:val="49"/>
    <w:rsid w:val="00D86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2020-06-12T16:28:00Z</dcterms:created>
  <dcterms:modified xsi:type="dcterms:W3CDTF">2020-06-12T16:29:00Z</dcterms:modified>
</cp:coreProperties>
</file>