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3E" w:rsidRDefault="00D8653E" w:rsidP="00D8653E">
      <w:bookmarkStart w:id="0" w:name="_GoBack"/>
      <w:bookmarkEnd w:id="0"/>
    </w:p>
    <w:p w:rsidR="00D8653E" w:rsidRDefault="00D8653E" w:rsidP="00D8653E">
      <w:pPr>
        <w:pStyle w:val="HTMLconformatoprevio"/>
        <w:shd w:val="clear" w:color="auto" w:fill="FFFFFF"/>
        <w:spacing w:line="480" w:lineRule="auto"/>
        <w:outlineLvl w:val="0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ANEXOS</w:t>
      </w:r>
    </w:p>
    <w:p w:rsidR="00D8653E" w:rsidRDefault="00D8653E" w:rsidP="00D8653E">
      <w:pPr>
        <w:pStyle w:val="Subttulo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Tabla No. 1</w:t>
      </w:r>
    </w:p>
    <w:p w:rsidR="00D8653E" w:rsidRDefault="00D8653E" w:rsidP="00D8653E">
      <w:pPr>
        <w:pStyle w:val="HTMLconformatoprevio"/>
        <w:shd w:val="clear" w:color="auto" w:fill="FFFFFF"/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Datos de exposición</w:t>
      </w:r>
    </w:p>
    <w:tbl>
      <w:tblPr>
        <w:tblStyle w:val="Tabladecuadrcula4-nfasis2"/>
        <w:tblW w:w="0" w:type="auto"/>
        <w:tblInd w:w="0" w:type="dxa"/>
        <w:tblLook w:val="04A0" w:firstRow="1" w:lastRow="0" w:firstColumn="1" w:lastColumn="0" w:noHBand="0" w:noVBand="1"/>
      </w:tblPr>
      <w:tblGrid>
        <w:gridCol w:w="4967"/>
        <w:gridCol w:w="3541"/>
      </w:tblGrid>
      <w:tr w:rsidR="00D8653E" w:rsidTr="00D8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hideMark/>
          </w:tcPr>
          <w:p w:rsidR="00D8653E" w:rsidRDefault="00D8653E">
            <w:pPr>
              <w:spacing w:line="360" w:lineRule="auto"/>
              <w:jc w:val="center"/>
              <w:rPr>
                <w:b w:val="0"/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Descripción de exposición</w:t>
            </w:r>
          </w:p>
        </w:tc>
        <w:tc>
          <w:tcPr>
            <w:tcW w:w="3541" w:type="dxa"/>
            <w:hideMark/>
          </w:tcPr>
          <w:p w:rsidR="00D8653E" w:rsidRDefault="00D86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Resultados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Años de exposición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Media  (17,98)</w:t>
            </w:r>
          </w:p>
        </w:tc>
      </w:tr>
      <w:tr w:rsidR="00D8653E" w:rsidTr="00D8653E">
        <w:trPr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Frecuencia de exposición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Cada 15 días  (36,5%)</w:t>
            </w:r>
          </w:p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Cada 30 días  (32,6%)</w:t>
            </w:r>
          </w:p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Cada semana  (30,7%)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Horas de exposición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Media (2,96)</w:t>
            </w:r>
          </w:p>
        </w:tc>
      </w:tr>
      <w:tr w:rsidR="00D8653E" w:rsidTr="00D8653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Recibió capacitación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Si (7,7%)     No  (92,3%)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Leen la etiqueta antes de usar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        Si (27%)      No (73%)</w:t>
            </w:r>
          </w:p>
        </w:tc>
      </w:tr>
      <w:tr w:rsidR="00D8653E" w:rsidTr="00D8653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Tiene conocimiento del plaguicida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Si (9,6%)      No (90,4%)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Usan plaguicida de etiqueta roja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Si (21,1%)     No (78,9%)</w:t>
            </w:r>
          </w:p>
        </w:tc>
      </w:tr>
      <w:tr w:rsidR="00D8653E" w:rsidTr="00D8653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Mezclas de plaguicidas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Si (82,7)        No (17,3%)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Uso de EPP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        Si (34,7)       No (65,3%)</w:t>
            </w:r>
          </w:p>
        </w:tc>
      </w:tr>
      <w:tr w:rsidR="00D8653E" w:rsidTr="00D8653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Come durante la preparación y/o fumigación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Si (65,3%)    No (34,7%)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Cambio de ropa al finalizar jornada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        Si (27%)       No (73%)</w:t>
            </w:r>
          </w:p>
        </w:tc>
      </w:tr>
      <w:tr w:rsidR="00D8653E" w:rsidTr="00D8653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Baño al finalizar la jornada</w:t>
            </w:r>
          </w:p>
        </w:tc>
        <w:tc>
          <w:tcPr>
            <w:tcW w:w="354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Si (36,5%)    No (63,5%)</w:t>
            </w:r>
          </w:p>
        </w:tc>
      </w:tr>
    </w:tbl>
    <w:p w:rsidR="00D8653E" w:rsidRDefault="00D8653E" w:rsidP="00D8653E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D8653E" w:rsidRDefault="00D8653E" w:rsidP="00D8653E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D8653E" w:rsidRDefault="00D8653E" w:rsidP="00D8653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Alteraciones tiroideas</w:t>
      </w:r>
    </w:p>
    <w:p w:rsidR="00D8653E" w:rsidRDefault="00D8653E" w:rsidP="00D8653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Tabla No.2</w:t>
      </w:r>
    </w:p>
    <w:tbl>
      <w:tblPr>
        <w:tblStyle w:val="Tabladecuadrcula4-nfasis2"/>
        <w:tblW w:w="0" w:type="auto"/>
        <w:tblInd w:w="0" w:type="dxa"/>
        <w:tblLook w:val="04A0" w:firstRow="1" w:lastRow="0" w:firstColumn="1" w:lastColumn="0" w:noHBand="0" w:noVBand="1"/>
      </w:tblPr>
      <w:tblGrid>
        <w:gridCol w:w="2606"/>
        <w:gridCol w:w="2606"/>
        <w:gridCol w:w="2607"/>
      </w:tblGrid>
      <w:tr w:rsidR="00D8653E" w:rsidTr="00D8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Alteración tiroidea</w:t>
            </w:r>
          </w:p>
        </w:tc>
        <w:tc>
          <w:tcPr>
            <w:tcW w:w="2606" w:type="dxa"/>
            <w:hideMark/>
          </w:tcPr>
          <w:p w:rsidR="00D8653E" w:rsidRDefault="00D86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Expuestos</w:t>
            </w:r>
          </w:p>
        </w:tc>
        <w:tc>
          <w:tcPr>
            <w:tcW w:w="2607" w:type="dxa"/>
            <w:hideMark/>
          </w:tcPr>
          <w:p w:rsidR="00D8653E" w:rsidRDefault="00D86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 expuestos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Media de TSH </w:t>
            </w:r>
          </w:p>
        </w:tc>
        <w:tc>
          <w:tcPr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          3,99  (62casos)</w:t>
            </w:r>
          </w:p>
        </w:tc>
        <w:tc>
          <w:tcPr>
            <w:tcW w:w="26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           3,13  (19casos)</w:t>
            </w:r>
          </w:p>
        </w:tc>
      </w:tr>
      <w:tr w:rsidR="00D8653E" w:rsidTr="00D8653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Nódulos tiroideos</w:t>
            </w:r>
          </w:p>
        </w:tc>
        <w:tc>
          <w:tcPr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16   (30,7%)</w:t>
            </w:r>
          </w:p>
        </w:tc>
        <w:tc>
          <w:tcPr>
            <w:tcW w:w="26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3   (15,8%)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Hipotiroidismo</w:t>
            </w:r>
          </w:p>
        </w:tc>
        <w:tc>
          <w:tcPr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 xml:space="preserve">          47    (7,7%)</w:t>
            </w:r>
          </w:p>
        </w:tc>
        <w:tc>
          <w:tcPr>
            <w:tcW w:w="26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2   (10,5%)</w:t>
            </w:r>
          </w:p>
        </w:tc>
      </w:tr>
      <w:tr w:rsidR="00D8653E" w:rsidTr="00D8653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Bocio multinodular</w:t>
            </w:r>
          </w:p>
        </w:tc>
        <w:tc>
          <w:tcPr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>2      (3,9%)</w:t>
            </w:r>
          </w:p>
        </w:tc>
        <w:tc>
          <w:tcPr>
            <w:tcW w:w="26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C"/>
              </w:rPr>
            </w:pPr>
            <w:r>
              <w:rPr>
                <w:sz w:val="24"/>
                <w:lang w:val="es-EC"/>
              </w:rPr>
              <w:t xml:space="preserve">           0    (0%)</w:t>
            </w:r>
          </w:p>
        </w:tc>
      </w:tr>
      <w:tr w:rsidR="00D8653E" w:rsidTr="00D8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rPr>
                <w:sz w:val="24"/>
                <w:szCs w:val="22"/>
                <w:lang w:val="es-EC"/>
              </w:rPr>
            </w:pPr>
            <w:r>
              <w:rPr>
                <w:sz w:val="24"/>
                <w:lang w:val="es-EC"/>
              </w:rPr>
              <w:t>Sin patología</w:t>
            </w:r>
          </w:p>
        </w:tc>
        <w:tc>
          <w:tcPr>
            <w:tcW w:w="260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C"/>
              </w:rPr>
            </w:pPr>
            <w:r>
              <w:rPr>
                <w:sz w:val="24"/>
                <w:lang w:val="es-EC"/>
              </w:rPr>
              <w:t>30    (57,7%)</w:t>
            </w:r>
          </w:p>
        </w:tc>
        <w:tc>
          <w:tcPr>
            <w:tcW w:w="26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D8653E" w:rsidRDefault="00D86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C"/>
              </w:rPr>
            </w:pPr>
            <w:r>
              <w:rPr>
                <w:sz w:val="24"/>
                <w:lang w:val="es-EC"/>
              </w:rPr>
              <w:t>14   (73,7%)</w:t>
            </w:r>
          </w:p>
        </w:tc>
      </w:tr>
    </w:tbl>
    <w:p w:rsidR="00D8653E" w:rsidRDefault="00D8653E" w:rsidP="00D8653E">
      <w:pPr>
        <w:pStyle w:val="Ttulo2"/>
        <w:spacing w:line="480" w:lineRule="auto"/>
        <w:rPr>
          <w:rFonts w:ascii="Times New Roman" w:hAnsi="Times New Roman" w:cs="Times New Roman"/>
          <w:b/>
          <w:color w:val="auto"/>
          <w:sz w:val="20"/>
          <w:lang w:val="es-EC"/>
        </w:rPr>
      </w:pPr>
    </w:p>
    <w:p w:rsidR="00D8653E" w:rsidRDefault="00D8653E" w:rsidP="00D8653E">
      <w:pPr>
        <w:pStyle w:val="Ttulo2"/>
        <w:spacing w:line="480" w:lineRule="auto"/>
        <w:rPr>
          <w:rFonts w:ascii="Times New Roman" w:hAnsi="Times New Roman" w:cs="Times New Roman"/>
          <w:b/>
          <w:color w:val="auto"/>
          <w:sz w:val="20"/>
          <w:lang w:val="es-EC"/>
        </w:rPr>
      </w:pPr>
    </w:p>
    <w:p w:rsidR="00D8653E" w:rsidRDefault="00D8653E" w:rsidP="00D8653E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D8653E" w:rsidRDefault="00D8653E" w:rsidP="00D865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s-EC"/>
        </w:rPr>
      </w:pPr>
    </w:p>
    <w:p w:rsidR="00072C9E" w:rsidRPr="00D8653E" w:rsidRDefault="00072C9E" w:rsidP="00D8653E">
      <w:pPr>
        <w:tabs>
          <w:tab w:val="left" w:pos="1850"/>
        </w:tabs>
      </w:pPr>
    </w:p>
    <w:sectPr w:rsidR="00072C9E" w:rsidRPr="00D86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3E"/>
    <w:rsid w:val="00072C9E"/>
    <w:rsid w:val="00D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2A1C9A-D346-4B7E-AD65-CF06CD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3E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8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865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653E"/>
    <w:rPr>
      <w:rFonts w:ascii="Courier New" w:eastAsia="Times New Roman" w:hAnsi="Courier New" w:cs="Courier New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qFormat/>
    <w:rsid w:val="00D8653E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D8653E"/>
    <w:rPr>
      <w:rFonts w:eastAsiaTheme="minorEastAsia"/>
      <w:color w:val="5A5A5A" w:themeColor="text1" w:themeTint="A5"/>
      <w:spacing w:val="15"/>
      <w:lang w:val="en-US"/>
    </w:rPr>
  </w:style>
  <w:style w:type="table" w:styleId="Tabladecuadrcula4-nfasis2">
    <w:name w:val="Grid Table 4 Accent 2"/>
    <w:basedOn w:val="Tablanormal"/>
    <w:uiPriority w:val="49"/>
    <w:rsid w:val="00D8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2020-06-12T16:28:00Z</dcterms:created>
  <dcterms:modified xsi:type="dcterms:W3CDTF">2020-06-12T16:29:00Z</dcterms:modified>
</cp:coreProperties>
</file>